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default" w:ascii="Arial" w:hAnsi="Arial" w:eastAsia="Arial" w:cs="Arial"/>
          <w:b/>
          <w:sz w:val="36"/>
        </w:rPr>
      </w:pPr>
      <w:r>
        <w:rPr>
          <w:rFonts w:ascii="Arial" w:hAnsi="Arial" w:eastAsia="Arial" w:cs="Arial"/>
          <w:b/>
          <w:sz w:val="36"/>
        </w:rPr>
        <w:t>监督索引号53010000373801000</w:t>
      </w:r>
    </w:p>
    <w:p>
      <w:pPr>
        <w:autoSpaceDE w:val="0"/>
        <w:autoSpaceDN w:val="0"/>
        <w:spacing w:line="590" w:lineRule="atLeast"/>
        <w:jc w:val="center"/>
        <w:rPr>
          <w:rFonts w:hint="default" w:ascii="方正小标宋简体" w:hAnsi="方正小标宋简体" w:eastAsia="方正小标宋简体" w:cs="方正小标宋简体"/>
          <w:sz w:val="44"/>
          <w:szCs w:val="44"/>
        </w:rPr>
      </w:pPr>
      <w:r>
        <w:rPr>
          <w:rFonts w:cs="宋体"/>
          <w:sz w:val="44"/>
          <w:szCs w:val="44"/>
        </w:rPr>
        <w:t>昆明日报社</w:t>
      </w:r>
      <w:r>
        <w:rPr>
          <w:rFonts w:ascii="方正小标宋简体" w:hAnsi="方正小标宋简体" w:eastAsia="方正小标宋简体" w:cs="方正小标宋简体"/>
          <w:sz w:val="44"/>
          <w:szCs w:val="44"/>
        </w:rPr>
        <w:t>2022</w:t>
      </w:r>
      <w:r>
        <w:rPr>
          <w:rFonts w:cs="宋体"/>
          <w:sz w:val="44"/>
          <w:szCs w:val="44"/>
        </w:rPr>
        <w:t>年度部门决算</w:t>
      </w:r>
    </w:p>
    <w:p>
      <w:pPr>
        <w:autoSpaceDE w:val="0"/>
        <w:autoSpaceDN w:val="0"/>
        <w:spacing w:line="590" w:lineRule="atLeast"/>
        <w:jc w:val="both"/>
        <w:rPr>
          <w:rFonts w:hint="default" w:ascii="黑体" w:eastAsia="黑体" w:cs="黑体"/>
          <w:sz w:val="36"/>
          <w:szCs w:val="36"/>
        </w:rPr>
      </w:pPr>
      <w:r>
        <w:rPr>
          <w:rFonts w:ascii="黑体" w:eastAsia="黑体" w:cs="黑体"/>
          <w:sz w:val="36"/>
          <w:szCs w:val="36"/>
        </w:rPr>
        <w:t xml:space="preserve"> </w:t>
      </w:r>
    </w:p>
    <w:p>
      <w:pPr>
        <w:autoSpaceDE w:val="0"/>
        <w:autoSpaceDN w:val="0"/>
        <w:spacing w:line="590" w:lineRule="atLeast"/>
        <w:jc w:val="both"/>
        <w:rPr>
          <w:rFonts w:hint="default" w:cs="宋体"/>
        </w:rPr>
      </w:pPr>
      <w:r>
        <w:rPr>
          <w:rFonts w:ascii="黑体" w:eastAsia="黑体" w:cs="黑体"/>
          <w:sz w:val="36"/>
          <w:szCs w:val="36"/>
        </w:rPr>
        <w:t>目录</w:t>
      </w:r>
    </w:p>
    <w:p>
      <w:pPr>
        <w:autoSpaceDE w:val="0"/>
        <w:autoSpaceDN w:val="0"/>
        <w:spacing w:line="590" w:lineRule="atLeast"/>
        <w:ind w:firstLine="640" w:firstLineChars="200"/>
        <w:jc w:val="both"/>
        <w:rPr>
          <w:rFonts w:hint="default" w:cs="宋体"/>
          <w:sz w:val="32"/>
          <w:szCs w:val="32"/>
        </w:rPr>
      </w:pPr>
      <w:r>
        <w:rPr>
          <w:rFonts w:ascii="黑体" w:eastAsia="黑体" w:cs="黑体"/>
          <w:sz w:val="32"/>
          <w:szCs w:val="32"/>
        </w:rPr>
        <w:t>第一部分</w:t>
      </w:r>
      <w:r>
        <w:rPr>
          <w:rFonts w:hint="default" w:ascii="Calibri" w:hAnsi="Calibri" w:eastAsia="黑体" w:cs="Calibri"/>
          <w:sz w:val="32"/>
          <w:szCs w:val="32"/>
        </w:rPr>
        <w:t xml:space="preserve"> </w:t>
      </w:r>
      <w:r>
        <w:rPr>
          <w:rFonts w:ascii="黑体" w:eastAsia="黑体" w:cs="黑体"/>
          <w:sz w:val="32"/>
          <w:szCs w:val="32"/>
        </w:rPr>
        <w:t xml:space="preserve"> 昆明日报社概况</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一、主要职能</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二、部门基本情况</w:t>
      </w:r>
    </w:p>
    <w:p>
      <w:pPr>
        <w:autoSpaceDE w:val="0"/>
        <w:autoSpaceDN w:val="0"/>
        <w:spacing w:line="590" w:lineRule="atLeast"/>
        <w:ind w:firstLine="640" w:firstLineChars="200"/>
        <w:jc w:val="both"/>
        <w:rPr>
          <w:rFonts w:hint="default" w:cs="宋体"/>
          <w:sz w:val="32"/>
          <w:szCs w:val="32"/>
        </w:rPr>
      </w:pPr>
      <w:r>
        <w:rPr>
          <w:rFonts w:ascii="黑体" w:eastAsia="黑体" w:cs="黑体"/>
          <w:sz w:val="32"/>
          <w:szCs w:val="32"/>
        </w:rPr>
        <w:t>第二部分</w:t>
      </w:r>
      <w:r>
        <w:rPr>
          <w:rFonts w:hint="default" w:ascii="Calibri" w:hAnsi="Calibri" w:eastAsia="黑体" w:cs="Calibri"/>
          <w:sz w:val="32"/>
          <w:szCs w:val="32"/>
        </w:rPr>
        <w:t xml:space="preserve"> </w:t>
      </w:r>
      <w:r>
        <w:rPr>
          <w:rFonts w:ascii="黑体" w:eastAsia="黑体" w:cs="黑体"/>
          <w:sz w:val="32"/>
          <w:szCs w:val="32"/>
        </w:rPr>
        <w:t xml:space="preserve"> 2022年度部门决算表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一、收入支出决算表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二、收入决算表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三、支出决算表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四、财政拨款收入支出决算表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五、一般公共预算财政拨款收入支出决算表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六、一般公共预算财政拨款基本支出决算表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七、一般公共预算财政拨款项目支出决算表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八、政府性基金预算财政拨款收入支出决算表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九、国有资本经营预算财政拨款收入支出决算表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十、</w:t>
      </w:r>
      <w:r>
        <w:rPr>
          <w:rFonts w:hint="default" w:ascii="Times New Roman" w:hAnsi="Times New Roman"/>
          <w:sz w:val="32"/>
          <w:szCs w:val="32"/>
        </w:rPr>
        <w:t>“</w:t>
      </w:r>
      <w:r>
        <w:rPr>
          <w:rFonts w:ascii="楷体" w:hAnsi="楷体" w:eastAsia="楷体" w:cs="楷体"/>
          <w:sz w:val="32"/>
          <w:szCs w:val="32"/>
        </w:rPr>
        <w:t>三公</w:t>
      </w:r>
      <w:r>
        <w:rPr>
          <w:rFonts w:hint="default" w:ascii="Times New Roman" w:hAnsi="Times New Roman"/>
          <w:sz w:val="32"/>
          <w:szCs w:val="32"/>
        </w:rPr>
        <w:t>”</w:t>
      </w:r>
      <w:r>
        <w:rPr>
          <w:rFonts w:ascii="楷体" w:hAnsi="楷体" w:eastAsia="楷体" w:cs="楷体"/>
          <w:sz w:val="32"/>
          <w:szCs w:val="32"/>
        </w:rPr>
        <w:t>经费、行政参公单位机关运行经费情况表</w:t>
      </w:r>
    </w:p>
    <w:p>
      <w:pPr>
        <w:autoSpaceDE w:val="0"/>
        <w:autoSpaceDN w:val="0"/>
        <w:spacing w:line="590" w:lineRule="atLeast"/>
        <w:ind w:firstLine="640" w:firstLineChars="200"/>
        <w:jc w:val="both"/>
        <w:rPr>
          <w:rFonts w:hint="default" w:cs="宋体"/>
          <w:sz w:val="32"/>
          <w:szCs w:val="32"/>
        </w:rPr>
      </w:pPr>
      <w:r>
        <w:rPr>
          <w:rFonts w:ascii="黑体" w:eastAsia="黑体" w:cs="黑体"/>
          <w:sz w:val="32"/>
          <w:szCs w:val="32"/>
        </w:rPr>
        <w:t>第三部分</w:t>
      </w:r>
      <w:r>
        <w:rPr>
          <w:rFonts w:hint="default" w:ascii="Calibri" w:hAnsi="Calibri" w:eastAsia="黑体" w:cs="Calibri"/>
          <w:sz w:val="32"/>
          <w:szCs w:val="32"/>
        </w:rPr>
        <w:t xml:space="preserve"> </w:t>
      </w:r>
      <w:r>
        <w:rPr>
          <w:rFonts w:ascii="黑体" w:eastAsia="黑体" w:cs="黑体"/>
          <w:sz w:val="32"/>
          <w:szCs w:val="32"/>
        </w:rPr>
        <w:t xml:space="preserve"> 2022年度部门决算情况说明</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一、收入决算情况说明</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二、支出决算情况说明</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三、一般公共预算财政拨款支出决算情况说明</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四、财政拨款</w:t>
      </w:r>
      <w:r>
        <w:rPr>
          <w:rFonts w:hint="default" w:ascii="Times New Roman" w:hAnsi="Times New Roman"/>
          <w:sz w:val="32"/>
          <w:szCs w:val="32"/>
        </w:rPr>
        <w:t>“</w:t>
      </w:r>
      <w:r>
        <w:rPr>
          <w:rFonts w:ascii="楷体" w:hAnsi="楷体" w:eastAsia="楷体" w:cs="楷体"/>
          <w:sz w:val="32"/>
          <w:szCs w:val="32"/>
        </w:rPr>
        <w:t>三公</w:t>
      </w:r>
      <w:r>
        <w:rPr>
          <w:rFonts w:hint="default" w:ascii="Times New Roman" w:hAnsi="Times New Roman"/>
          <w:sz w:val="32"/>
          <w:szCs w:val="32"/>
        </w:rPr>
        <w:t>”</w:t>
      </w:r>
      <w:r>
        <w:rPr>
          <w:rFonts w:ascii="楷体" w:hAnsi="楷体" w:eastAsia="楷体" w:cs="楷体"/>
          <w:sz w:val="32"/>
          <w:szCs w:val="32"/>
        </w:rPr>
        <w:t>经费支出决算情况说明</w:t>
      </w:r>
    </w:p>
    <w:p>
      <w:pPr>
        <w:autoSpaceDE w:val="0"/>
        <w:autoSpaceDN w:val="0"/>
        <w:spacing w:line="590" w:lineRule="atLeast"/>
        <w:ind w:firstLine="640" w:firstLineChars="200"/>
        <w:jc w:val="both"/>
        <w:rPr>
          <w:rFonts w:hint="default" w:cs="宋体"/>
          <w:sz w:val="32"/>
          <w:szCs w:val="32"/>
        </w:rPr>
      </w:pPr>
      <w:r>
        <w:rPr>
          <w:rFonts w:ascii="黑体" w:eastAsia="黑体" w:cs="黑体"/>
          <w:sz w:val="32"/>
          <w:szCs w:val="32"/>
        </w:rPr>
        <w:t>第四部分</w:t>
      </w:r>
      <w:r>
        <w:rPr>
          <w:rFonts w:hint="default" w:ascii="Calibri" w:hAnsi="Calibri" w:eastAsia="黑体" w:cs="Calibri"/>
          <w:sz w:val="32"/>
          <w:szCs w:val="32"/>
        </w:rPr>
        <w:t xml:space="preserve"> </w:t>
      </w:r>
      <w:r>
        <w:rPr>
          <w:rFonts w:ascii="黑体" w:eastAsia="黑体" w:cs="黑体"/>
          <w:sz w:val="32"/>
          <w:szCs w:val="32"/>
        </w:rPr>
        <w:t xml:space="preserve"> 其他重要事项及相关口径情况说明</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一、机关运行经费支出情况</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二、国有资产占用情况</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三、政府采购支出情况</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四、部门绩效自评情况</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（一）部门整体支出绩效自评情况</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（二）部门整体支出绩效自评表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（三）项目支出绩效自评表</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五、其他重要事项情况说明</w:t>
      </w:r>
    </w:p>
    <w:p>
      <w:pPr>
        <w:autoSpaceDE w:val="0"/>
        <w:autoSpaceDN w:val="0"/>
        <w:spacing w:line="590" w:lineRule="atLeast"/>
        <w:ind w:firstLine="640" w:firstLineChars="200"/>
        <w:jc w:val="both"/>
        <w:rPr>
          <w:rFonts w:hint="default" w:cs="宋体"/>
          <w:sz w:val="32"/>
          <w:szCs w:val="32"/>
        </w:rPr>
      </w:pPr>
      <w:r>
        <w:rPr>
          <w:rFonts w:ascii="楷体" w:hAnsi="楷体" w:eastAsia="楷体" w:cs="楷体"/>
          <w:sz w:val="32"/>
          <w:szCs w:val="32"/>
        </w:rPr>
        <w:t>六、相关口径说明</w:t>
      </w:r>
    </w:p>
    <w:p>
      <w:pPr>
        <w:autoSpaceDE w:val="0"/>
        <w:autoSpaceDN w:val="0"/>
        <w:spacing w:line="590" w:lineRule="atLeast"/>
        <w:ind w:firstLine="640" w:firstLineChars="200"/>
        <w:jc w:val="both"/>
        <w:rPr>
          <w:rFonts w:hint="default" w:cs="宋体"/>
          <w:sz w:val="32"/>
          <w:szCs w:val="32"/>
        </w:rPr>
      </w:pPr>
      <w:r>
        <w:rPr>
          <w:rFonts w:ascii="黑体" w:eastAsia="黑体" w:cs="黑体"/>
          <w:sz w:val="32"/>
          <w:szCs w:val="32"/>
        </w:rPr>
        <w:t>第五部分</w:t>
      </w:r>
      <w:r>
        <w:rPr>
          <w:rFonts w:hint="default" w:ascii="Calibri" w:hAnsi="Calibri" w:eastAsia="黑体" w:cs="Calibri"/>
          <w:sz w:val="32"/>
          <w:szCs w:val="32"/>
        </w:rPr>
        <w:t xml:space="preserve"> </w:t>
      </w:r>
      <w:r>
        <w:rPr>
          <w:rFonts w:ascii="黑体" w:eastAsia="黑体" w:cs="黑体"/>
          <w:sz w:val="32"/>
          <w:szCs w:val="32"/>
        </w:rPr>
        <w:t xml:space="preserve"> 名词解释</w:t>
      </w:r>
    </w:p>
    <w:p>
      <w:pPr>
        <w:autoSpaceDE w:val="0"/>
        <w:autoSpaceDN w:val="0"/>
        <w:spacing w:line="600" w:lineRule="atLeast"/>
        <w:jc w:val="both"/>
        <w:rPr>
          <w:rFonts w:hint="default" w:cs="宋体"/>
          <w:sz w:val="32"/>
          <w:szCs w:val="32"/>
        </w:rPr>
      </w:pPr>
      <w:r>
        <w:rPr>
          <w:rFonts w:hint="default" w:ascii="Times New Roman" w:hAnsi="Times New Roman"/>
          <w:sz w:val="32"/>
          <w:szCs w:val="32"/>
        </w:rPr>
        <w:t xml:space="preserve"> </w:t>
      </w:r>
    </w:p>
    <w:p>
      <w:pPr>
        <w:autoSpaceDE w:val="0"/>
        <w:autoSpaceDN w:val="0"/>
        <w:spacing w:line="600" w:lineRule="atLeast"/>
        <w:jc w:val="both"/>
        <w:rPr>
          <w:rFonts w:hint="default" w:cs="宋体"/>
          <w:sz w:val="32"/>
          <w:szCs w:val="32"/>
        </w:rPr>
      </w:pPr>
      <w:r>
        <w:rPr>
          <w:rFonts w:hint="default" w:ascii="Times New Roman" w:hAnsi="Times New Roman"/>
          <w:sz w:val="32"/>
          <w:szCs w:val="32"/>
        </w:rPr>
        <w:t xml:space="preserve"> </w:t>
      </w:r>
    </w:p>
    <w:p>
      <w:pPr>
        <w:autoSpaceDE w:val="0"/>
        <w:autoSpaceDN w:val="0"/>
        <w:spacing w:line="600" w:lineRule="atLeast"/>
        <w:jc w:val="both"/>
        <w:rPr>
          <w:rFonts w:hint="default" w:cs="宋体"/>
          <w:sz w:val="32"/>
          <w:szCs w:val="32"/>
        </w:rPr>
      </w:pPr>
      <w:r>
        <w:rPr>
          <w:rFonts w:hint="default" w:ascii="Times New Roman" w:hAnsi="Times New Roman"/>
          <w:sz w:val="32"/>
          <w:szCs w:val="32"/>
        </w:rPr>
        <w:t xml:space="preserve"> </w:t>
      </w:r>
    </w:p>
    <w:p>
      <w:pPr>
        <w:autoSpaceDE w:val="0"/>
        <w:autoSpaceDN w:val="0"/>
        <w:spacing w:line="590" w:lineRule="atLeast"/>
        <w:jc w:val="both"/>
        <w:rPr>
          <w:rFonts w:hint="default" w:ascii="黑体" w:eastAsia="黑体" w:cs="黑体"/>
          <w:sz w:val="32"/>
          <w:szCs w:val="32"/>
        </w:rPr>
      </w:pPr>
      <w:r>
        <w:rPr>
          <w:rFonts w:ascii="黑体" w:eastAsia="黑体" w:cs="黑体"/>
          <w:sz w:val="32"/>
          <w:szCs w:val="32"/>
        </w:rPr>
        <w:t xml:space="preserve"> </w:t>
      </w:r>
    </w:p>
    <w:p>
      <w:pPr>
        <w:autoSpaceDE w:val="0"/>
        <w:autoSpaceDN w:val="0"/>
        <w:spacing w:line="590" w:lineRule="atLeast"/>
        <w:jc w:val="both"/>
        <w:rPr>
          <w:rFonts w:hint="default" w:ascii="黑体" w:eastAsia="黑体" w:cs="黑体"/>
          <w:sz w:val="32"/>
          <w:szCs w:val="32"/>
        </w:rPr>
      </w:pPr>
      <w:r>
        <w:rPr>
          <w:rFonts w:ascii="黑体" w:eastAsia="黑体" w:cs="黑体"/>
          <w:sz w:val="32"/>
          <w:szCs w:val="32"/>
        </w:rPr>
        <w:t xml:space="preserve"> </w:t>
      </w:r>
    </w:p>
    <w:p>
      <w:pPr>
        <w:autoSpaceDE w:val="0"/>
        <w:autoSpaceDN w:val="0"/>
        <w:spacing w:line="590" w:lineRule="atLeast"/>
        <w:jc w:val="both"/>
        <w:rPr>
          <w:rFonts w:hint="default" w:ascii="黑体" w:eastAsia="黑体" w:cs="黑体"/>
          <w:sz w:val="32"/>
          <w:szCs w:val="32"/>
        </w:rPr>
      </w:pPr>
      <w:r>
        <w:rPr>
          <w:rFonts w:ascii="黑体" w:eastAsia="黑体" w:cs="黑体"/>
          <w:sz w:val="32"/>
          <w:szCs w:val="32"/>
        </w:rPr>
        <w:t xml:space="preserve"> </w:t>
      </w:r>
    </w:p>
    <w:p>
      <w:pPr>
        <w:autoSpaceDE w:val="0"/>
        <w:autoSpaceDN w:val="0"/>
        <w:spacing w:line="590" w:lineRule="atLeast"/>
        <w:jc w:val="both"/>
        <w:rPr>
          <w:rFonts w:hint="default" w:ascii="黑体" w:eastAsia="黑体" w:cs="黑体"/>
          <w:sz w:val="32"/>
          <w:szCs w:val="32"/>
        </w:rPr>
      </w:pPr>
      <w:r>
        <w:rPr>
          <w:rFonts w:ascii="黑体" w:eastAsia="黑体" w:cs="黑体"/>
          <w:sz w:val="32"/>
          <w:szCs w:val="32"/>
        </w:rPr>
        <w:t xml:space="preserve"> </w:t>
      </w:r>
    </w:p>
    <w:p>
      <w:pPr>
        <w:autoSpaceDE w:val="0"/>
        <w:autoSpaceDN w:val="0"/>
        <w:spacing w:line="590" w:lineRule="atLeast"/>
        <w:jc w:val="both"/>
        <w:rPr>
          <w:rFonts w:hint="default" w:ascii="黑体" w:eastAsia="黑体" w:cs="黑体"/>
          <w:sz w:val="32"/>
          <w:szCs w:val="32"/>
        </w:rPr>
      </w:pPr>
      <w:r>
        <w:rPr>
          <w:rFonts w:ascii="黑体" w:eastAsia="黑体" w:cs="黑体"/>
          <w:sz w:val="32"/>
          <w:szCs w:val="32"/>
        </w:rPr>
        <w:t xml:space="preserve"> </w:t>
      </w:r>
    </w:p>
    <w:p>
      <w:pPr>
        <w:autoSpaceDE w:val="0"/>
        <w:autoSpaceDN w:val="0"/>
        <w:spacing w:line="590" w:lineRule="atLeast"/>
        <w:jc w:val="both"/>
        <w:rPr>
          <w:rFonts w:hint="default" w:ascii="黑体" w:eastAsia="黑体" w:cs="黑体"/>
          <w:sz w:val="32"/>
          <w:szCs w:val="32"/>
        </w:rPr>
      </w:pPr>
      <w:r>
        <w:rPr>
          <w:rFonts w:ascii="黑体" w:eastAsia="黑体" w:cs="黑体"/>
          <w:sz w:val="32"/>
          <w:szCs w:val="32"/>
        </w:rPr>
        <w:t xml:space="preserve"> </w:t>
      </w:r>
    </w:p>
    <w:p>
      <w:pPr>
        <w:autoSpaceDE w:val="0"/>
        <w:autoSpaceDN w:val="0"/>
        <w:spacing w:line="590" w:lineRule="atLeast"/>
        <w:jc w:val="both"/>
        <w:rPr>
          <w:rFonts w:hint="default" w:ascii="黑体" w:eastAsia="黑体" w:cs="黑体"/>
          <w:sz w:val="32"/>
          <w:szCs w:val="32"/>
        </w:rPr>
      </w:pPr>
      <w:r>
        <w:rPr>
          <w:rFonts w:ascii="黑体" w:eastAsia="黑体" w:cs="黑体"/>
          <w:sz w:val="32"/>
          <w:szCs w:val="32"/>
        </w:rPr>
        <w:t xml:space="preserve"> </w:t>
      </w:r>
    </w:p>
    <w:p>
      <w:pPr>
        <w:autoSpaceDE w:val="0"/>
        <w:autoSpaceDN w:val="0"/>
        <w:spacing w:line="590" w:lineRule="atLeast"/>
        <w:jc w:val="both"/>
        <w:rPr>
          <w:rFonts w:hint="default" w:ascii="黑体" w:eastAsia="黑体" w:cs="黑体"/>
          <w:sz w:val="32"/>
          <w:szCs w:val="32"/>
        </w:rPr>
      </w:pPr>
      <w:r>
        <w:rPr>
          <w:rFonts w:ascii="黑体" w:eastAsia="黑体" w:cs="黑体"/>
          <w:sz w:val="32"/>
          <w:szCs w:val="32"/>
        </w:rPr>
        <w:t xml:space="preserve"> </w:t>
      </w:r>
    </w:p>
    <w:p>
      <w:pPr>
        <w:autoSpaceDE w:val="0"/>
        <w:autoSpaceDN w:val="0"/>
        <w:spacing w:line="590" w:lineRule="atLeast"/>
        <w:jc w:val="both"/>
        <w:rPr>
          <w:rFonts w:hint="default" w:cs="宋体"/>
          <w:sz w:val="32"/>
          <w:szCs w:val="32"/>
        </w:rPr>
      </w:pPr>
      <w:r>
        <w:rPr>
          <w:rFonts w:ascii="黑体" w:eastAsia="黑体" w:cs="黑体"/>
          <w:sz w:val="32"/>
          <w:szCs w:val="32"/>
        </w:rPr>
        <w:t>第一部分</w:t>
      </w:r>
      <w:r>
        <w:rPr>
          <w:rFonts w:hint="default" w:ascii="Calibri" w:hAnsi="Calibri" w:eastAsia="黑体" w:cs="Calibri"/>
          <w:sz w:val="32"/>
          <w:szCs w:val="32"/>
        </w:rPr>
        <w:t xml:space="preserve"> </w:t>
      </w:r>
      <w:r>
        <w:rPr>
          <w:rFonts w:ascii="黑体" w:eastAsia="黑体" w:cs="黑体"/>
          <w:sz w:val="32"/>
          <w:szCs w:val="32"/>
        </w:rPr>
        <w:t xml:space="preserve"> 昆明日报社概况</w:t>
      </w:r>
    </w:p>
    <w:p>
      <w:pPr>
        <w:autoSpaceDE w:val="0"/>
        <w:autoSpaceDN w:val="0"/>
        <w:spacing w:line="590" w:lineRule="atLeast"/>
        <w:ind w:firstLine="640" w:firstLineChars="200"/>
        <w:jc w:val="both"/>
        <w:rPr>
          <w:rFonts w:hint="default" w:cs="宋体"/>
          <w:sz w:val="32"/>
          <w:szCs w:val="32"/>
        </w:rPr>
      </w:pPr>
      <w:r>
        <w:rPr>
          <w:rFonts w:ascii="黑体" w:eastAsia="黑体" w:cs="黑体"/>
          <w:sz w:val="32"/>
          <w:szCs w:val="32"/>
        </w:rPr>
        <w:t>一、主要职能</w:t>
      </w:r>
    </w:p>
    <w:p>
      <w:pPr>
        <w:autoSpaceDE w:val="0"/>
        <w:autoSpaceDN w:val="0"/>
        <w:spacing w:line="590" w:lineRule="atLeast"/>
        <w:ind w:firstLine="600"/>
        <w:jc w:val="both"/>
        <w:rPr>
          <w:rFonts w:hint="default" w:cs="宋体"/>
          <w:sz w:val="32"/>
          <w:szCs w:val="32"/>
        </w:rPr>
      </w:pPr>
      <w:r>
        <w:rPr>
          <w:rFonts w:ascii="楷体" w:hAnsi="楷体" w:eastAsia="楷体" w:cs="楷体"/>
          <w:sz w:val="32"/>
          <w:szCs w:val="32"/>
        </w:rPr>
        <w:t>（一）主要职能</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1.</w:t>
      </w:r>
      <w:r>
        <w:rPr>
          <w:rStyle w:val="21"/>
          <w:rFonts w:hint="eastAsia" w:ascii="仿宋" w:hAnsi="仿宋" w:eastAsia="仿宋" w:cs="仿宋"/>
          <w:sz w:val="32"/>
          <w:szCs w:val="32"/>
          <w:shd w:val="clear" w:color="auto" w:fill="FFFFFF"/>
        </w:rPr>
        <w:t>主报《昆明日报》</w:t>
      </w:r>
      <w:r>
        <w:rPr>
          <w:rFonts w:ascii="仿宋" w:hAnsi="仿宋" w:eastAsia="仿宋" w:cs="仿宋"/>
          <w:sz w:val="32"/>
          <w:szCs w:val="32"/>
          <w:shd w:val="clear" w:color="auto" w:fill="FFFFFF"/>
        </w:rPr>
        <w:t>出版。</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2.子报《都市时报》出版。</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3.负责杂志《滇池》《皮肤病与性病》出版。</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4.负责昆明信息港的运维</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5.开办网站、开办新媒体。</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6.相关印刷业务、相关发行、物流业务。</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7.广告设计、广告制作、广告发布、广告会展。</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8.新闻研究：新闻理论研究、新闻史研究、应用新闻学研究、新闻业务培训、新闻业务交流。</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9.完成上级交办的其他工作。</w:t>
      </w:r>
    </w:p>
    <w:p>
      <w:pPr>
        <w:autoSpaceDE w:val="0"/>
        <w:autoSpaceDN w:val="0"/>
        <w:spacing w:line="590" w:lineRule="atLeast"/>
        <w:ind w:firstLine="600"/>
        <w:jc w:val="both"/>
        <w:rPr>
          <w:rFonts w:hint="default" w:cs="宋体"/>
          <w:sz w:val="32"/>
          <w:szCs w:val="32"/>
        </w:rPr>
      </w:pPr>
      <w:r>
        <w:rPr>
          <w:rFonts w:ascii="楷体" w:hAnsi="楷体" w:eastAsia="楷体" w:cs="楷体"/>
          <w:sz w:val="32"/>
          <w:szCs w:val="32"/>
        </w:rPr>
        <w:t>（二）2022年度重点工作任务概述</w:t>
      </w:r>
    </w:p>
    <w:p>
      <w:pPr>
        <w:pStyle w:val="71"/>
        <w:shd w:val="clear" w:color="auto" w:fill="FFFFFF"/>
        <w:spacing w:line="590" w:lineRule="atLeast"/>
        <w:ind w:firstLine="6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2022年度，昆明日报社坚持以习近平新时代中国特色社会主义思想为指导，认真学习宣传贯彻党的二十大精神，深入贯彻习近平总书记考察云南重要讲话精神，按照党中央和省委、市委的决策部署以及市委宣传部的工作安排，贯彻落实“当好排头兵”大讨论大竞赛活动要求，巩固壮大奋进新时代新征程的主流思想舆论，为昆明当好全省经济社会发展排头兵营造良好的舆论氛围。</w:t>
      </w:r>
    </w:p>
    <w:p>
      <w:pPr>
        <w:autoSpaceDE w:val="0"/>
        <w:autoSpaceDN w:val="0"/>
        <w:spacing w:line="590" w:lineRule="atLeast"/>
        <w:ind w:firstLine="600"/>
        <w:jc w:val="both"/>
        <w:rPr>
          <w:rFonts w:hint="default" w:cs="宋体"/>
          <w:sz w:val="32"/>
          <w:szCs w:val="32"/>
        </w:rPr>
      </w:pPr>
      <w:r>
        <w:rPr>
          <w:rFonts w:ascii="黑体" w:eastAsia="黑体" w:cs="黑体"/>
          <w:sz w:val="32"/>
          <w:szCs w:val="32"/>
        </w:rPr>
        <w:t>二、部门基本情况</w:t>
      </w:r>
    </w:p>
    <w:p>
      <w:pPr>
        <w:autoSpaceDE w:val="0"/>
        <w:autoSpaceDN w:val="0"/>
        <w:spacing w:line="590" w:lineRule="atLeast"/>
        <w:ind w:firstLine="600"/>
        <w:jc w:val="both"/>
        <w:rPr>
          <w:rFonts w:hint="default" w:cs="宋体"/>
          <w:sz w:val="32"/>
          <w:szCs w:val="32"/>
        </w:rPr>
      </w:pPr>
      <w:r>
        <w:rPr>
          <w:rFonts w:ascii="楷体" w:hAnsi="楷体" w:eastAsia="楷体" w:cs="楷体"/>
          <w:sz w:val="32"/>
          <w:szCs w:val="32"/>
        </w:rPr>
        <w:t>（一）机构设置情况</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我部门共设置17个内设机构，</w:t>
      </w:r>
      <w:r>
        <w:rPr>
          <w:rFonts w:ascii="仿宋_GB2312" w:eastAsia="仿宋_GB2312"/>
          <w:sz w:val="30"/>
          <w:szCs w:val="30"/>
        </w:rPr>
        <w:t>包括</w:t>
      </w:r>
      <w:r>
        <w:rPr>
          <w:rFonts w:ascii="仿宋" w:hAnsi="仿宋" w:eastAsia="仿宋" w:cs="仿宋"/>
          <w:sz w:val="32"/>
          <w:szCs w:val="32"/>
        </w:rPr>
        <w:t>：</w:t>
      </w:r>
    </w:p>
    <w:p>
      <w:pPr>
        <w:autoSpaceDE w:val="0"/>
        <w:autoSpaceDN w:val="0"/>
        <w:spacing w:line="600" w:lineRule="atLeast"/>
        <w:ind w:firstLine="600"/>
        <w:jc w:val="both"/>
        <w:rPr>
          <w:rFonts w:hint="default" w:eastAsia="仿宋" w:cs="宋体"/>
          <w:sz w:val="32"/>
          <w:szCs w:val="32"/>
        </w:rPr>
      </w:pPr>
      <w:r>
        <w:rPr>
          <w:rFonts w:ascii="仿宋" w:hAnsi="仿宋" w:eastAsia="仿宋" w:cs="仿宋"/>
          <w:sz w:val="32"/>
          <w:szCs w:val="32"/>
        </w:rPr>
        <w:t>1.党政办公室</w:t>
      </w:r>
    </w:p>
    <w:p>
      <w:pPr>
        <w:autoSpaceDE w:val="0"/>
        <w:autoSpaceDN w:val="0"/>
        <w:spacing w:line="600" w:lineRule="atLeast"/>
        <w:ind w:firstLine="600"/>
        <w:jc w:val="both"/>
        <w:rPr>
          <w:rFonts w:hint="default" w:eastAsia="仿宋" w:cs="宋体"/>
          <w:sz w:val="32"/>
          <w:szCs w:val="32"/>
        </w:rPr>
      </w:pPr>
      <w:r>
        <w:rPr>
          <w:rFonts w:ascii="仿宋" w:hAnsi="仿宋" w:eastAsia="仿宋" w:cs="仿宋"/>
          <w:sz w:val="32"/>
          <w:szCs w:val="32"/>
        </w:rPr>
        <w:t>2.党群工作部</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3.纪检监察室</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4.人力资源部</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5.财务管理部</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6.新闻研究与考核部</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7.产业发展办（经营管理部）</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8.信息技术服务中心</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9.昆明日报综合新闻中心</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10.昆明日报经济新闻中心</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11.掌上春城（全媒体中心）</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12.都市时报（编辑部）</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13.昆明信息港管委会</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14.昆明日报广告部</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15.书刊编辑中心</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16.发行部</w:t>
      </w:r>
    </w:p>
    <w:p>
      <w:pPr>
        <w:autoSpaceDE w:val="0"/>
        <w:autoSpaceDN w:val="0"/>
        <w:spacing w:line="600" w:lineRule="atLeast"/>
        <w:ind w:firstLine="600"/>
        <w:jc w:val="both"/>
        <w:rPr>
          <w:rFonts w:hint="default" w:ascii="仿宋" w:hAnsi="仿宋" w:eastAsia="仿宋" w:cs="仿宋"/>
          <w:sz w:val="32"/>
          <w:szCs w:val="32"/>
        </w:rPr>
      </w:pPr>
      <w:r>
        <w:rPr>
          <w:rFonts w:ascii="仿宋" w:hAnsi="仿宋" w:eastAsia="仿宋" w:cs="仿宋"/>
          <w:sz w:val="32"/>
          <w:szCs w:val="32"/>
        </w:rPr>
        <w:t>17.印务中心</w:t>
      </w:r>
    </w:p>
    <w:p>
      <w:pPr>
        <w:autoSpaceDE w:val="0"/>
        <w:autoSpaceDN w:val="0"/>
        <w:spacing w:line="600" w:lineRule="atLeast"/>
        <w:ind w:firstLine="600"/>
        <w:jc w:val="both"/>
        <w:rPr>
          <w:rFonts w:hint="default" w:ascii="仿宋" w:hAnsi="仿宋" w:eastAsia="仿宋" w:cs="仿宋"/>
          <w:color w:val="000000" w:themeColor="text1"/>
          <w:sz w:val="32"/>
          <w:szCs w:val="32"/>
          <w14:textFill>
            <w14:solidFill>
              <w14:schemeClr w14:val="tx1"/>
            </w14:solidFill>
          </w14:textFill>
        </w:rPr>
      </w:pPr>
      <w:r>
        <w:rPr>
          <w:rFonts w:ascii="仿宋" w:hAnsi="仿宋" w:eastAsia="仿宋" w:cs="仿宋"/>
          <w:sz w:val="32"/>
          <w:szCs w:val="32"/>
        </w:rPr>
        <w:t>我部门</w:t>
      </w:r>
      <w:r>
        <w:rPr>
          <w:rFonts w:ascii="仿宋_GB2312" w:eastAsia="仿宋_GB2312"/>
          <w:color w:val="000000" w:themeColor="text1"/>
          <w:sz w:val="30"/>
          <w:szCs w:val="30"/>
          <w14:textFill>
            <w14:solidFill>
              <w14:schemeClr w14:val="tx1"/>
            </w14:solidFill>
          </w14:textFill>
        </w:rPr>
        <w:t>无所属单位。</w:t>
      </w:r>
    </w:p>
    <w:p>
      <w:pPr>
        <w:autoSpaceDE w:val="0"/>
        <w:autoSpaceDN w:val="0"/>
        <w:spacing w:line="590" w:lineRule="atLeast"/>
        <w:ind w:firstLine="600"/>
        <w:jc w:val="both"/>
        <w:rPr>
          <w:rFonts w:hint="default" w:cs="宋体"/>
          <w:sz w:val="32"/>
          <w:szCs w:val="32"/>
        </w:rPr>
      </w:pPr>
      <w:r>
        <w:rPr>
          <w:rFonts w:ascii="楷体" w:hAnsi="楷体" w:eastAsia="楷体" w:cs="楷体"/>
          <w:sz w:val="32"/>
          <w:szCs w:val="32"/>
        </w:rPr>
        <w:t>（二）决算单位构成</w:t>
      </w:r>
    </w:p>
    <w:p>
      <w:pPr>
        <w:pStyle w:val="71"/>
        <w:shd w:val="clear" w:color="auto" w:fill="FFFFFF"/>
        <w:spacing w:line="590" w:lineRule="atLeast"/>
        <w:ind w:firstLine="6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纳入昆明日报社2022年度部门决算编报的单位共1个。其中：行政单位0个，差额补贴的事业单位1个，其他事业单位0个。是：</w:t>
      </w:r>
    </w:p>
    <w:p>
      <w:pPr>
        <w:pStyle w:val="71"/>
        <w:shd w:val="clear" w:color="auto" w:fill="FFFFFF"/>
        <w:spacing w:line="590" w:lineRule="atLeast"/>
        <w:ind w:firstLine="640" w:firstLineChars="200"/>
        <w:jc w:val="both"/>
        <w:rPr>
          <w:rFonts w:hint="default" w:cs="宋体"/>
          <w:sz w:val="32"/>
          <w:szCs w:val="32"/>
          <w:shd w:val="clear" w:color="auto" w:fill="FFFFFF"/>
        </w:rPr>
      </w:pPr>
      <w:r>
        <w:rPr>
          <w:rFonts w:ascii="仿宋" w:hAnsi="仿宋" w:eastAsia="仿宋" w:cs="仿宋"/>
          <w:sz w:val="32"/>
          <w:szCs w:val="32"/>
          <w:shd w:val="clear" w:color="auto" w:fill="FFFFFF"/>
        </w:rPr>
        <w:t>昆明日报社</w:t>
      </w:r>
    </w:p>
    <w:p>
      <w:pPr>
        <w:autoSpaceDE w:val="0"/>
        <w:autoSpaceDN w:val="0"/>
        <w:spacing w:line="590" w:lineRule="atLeast"/>
        <w:ind w:firstLine="600"/>
        <w:jc w:val="both"/>
        <w:rPr>
          <w:rFonts w:hint="default" w:cs="宋体"/>
          <w:sz w:val="32"/>
          <w:szCs w:val="32"/>
        </w:rPr>
      </w:pPr>
      <w:r>
        <w:rPr>
          <w:rFonts w:ascii="楷体" w:hAnsi="楷体" w:eastAsia="楷体" w:cs="楷体"/>
          <w:sz w:val="32"/>
          <w:szCs w:val="32"/>
        </w:rPr>
        <w:t xml:space="preserve">（三）部门人员和车辆的编制及实有情况 </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昆明日报社2022年末实有人员编制159人。其中：行政编制0人（含行政工勤编制0人），事业编制159人（含参公管理事业编制0人）；在职在编实有行政人员0人（含行政工勤人员0人），事业人员76人（含参公管理事业人员0人）。</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尚未移交养老保险基金发放养老金的离退休人员共计0人（离休0人，退休0人）；由养老保险基金发放养老金的离退休人员83人（离休0人，退休83人）。</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实有车辆编制13辆，在编实有车辆13辆。</w:t>
      </w:r>
    </w:p>
    <w:p>
      <w:pPr>
        <w:autoSpaceDE w:val="0"/>
        <w:autoSpaceDN w:val="0"/>
        <w:spacing w:line="590" w:lineRule="atLeast"/>
        <w:jc w:val="both"/>
        <w:rPr>
          <w:rFonts w:hint="default" w:cs="宋体"/>
          <w:sz w:val="32"/>
          <w:szCs w:val="32"/>
        </w:rPr>
      </w:pPr>
      <w:r>
        <w:rPr>
          <w:rFonts w:ascii="黑体" w:eastAsia="黑体" w:cs="黑体"/>
          <w:sz w:val="32"/>
          <w:szCs w:val="32"/>
        </w:rPr>
        <w:t>第二部分</w:t>
      </w:r>
      <w:r>
        <w:rPr>
          <w:rFonts w:hint="default" w:ascii="Calibri" w:hAnsi="Calibri" w:eastAsia="黑体" w:cs="Calibri"/>
          <w:sz w:val="32"/>
          <w:szCs w:val="32"/>
        </w:rPr>
        <w:t xml:space="preserve"> </w:t>
      </w:r>
      <w:r>
        <w:rPr>
          <w:rFonts w:ascii="黑体" w:eastAsia="黑体" w:cs="黑体"/>
          <w:sz w:val="32"/>
          <w:szCs w:val="32"/>
        </w:rPr>
        <w:t xml:space="preserve"> 2022年度部门决算表</w:t>
      </w:r>
    </w:p>
    <w:p>
      <w:pPr>
        <w:autoSpaceDE w:val="0"/>
        <w:autoSpaceDN w:val="0"/>
        <w:spacing w:line="590" w:lineRule="atLeast"/>
        <w:ind w:firstLine="600"/>
        <w:jc w:val="both"/>
        <w:rPr>
          <w:rFonts w:hint="default" w:ascii="仿宋" w:hAnsi="仿宋" w:eastAsia="仿宋" w:cs="仿宋"/>
          <w:sz w:val="32"/>
          <w:szCs w:val="32"/>
        </w:rPr>
      </w:pPr>
      <w:r>
        <w:rPr>
          <w:rFonts w:ascii="仿宋" w:hAnsi="仿宋" w:eastAsia="仿宋" w:cs="仿宋"/>
          <w:sz w:val="32"/>
          <w:szCs w:val="32"/>
        </w:rPr>
        <w:t>（详见附件）</w:t>
      </w:r>
    </w:p>
    <w:p>
      <w:pPr>
        <w:ind w:firstLine="640" w:firstLineChars="200"/>
        <w:jc w:val="both"/>
        <w:rPr>
          <w:rFonts w:hint="default" w:ascii="仿宋" w:hAnsi="仿宋" w:eastAsia="仿宋" w:cs="仿宋"/>
          <w:sz w:val="32"/>
          <w:szCs w:val="32"/>
        </w:rPr>
      </w:pPr>
      <w:r>
        <w:rPr>
          <w:rFonts w:ascii="仿宋" w:hAnsi="仿宋" w:eastAsia="仿宋" w:cs="仿宋"/>
          <w:sz w:val="32"/>
          <w:szCs w:val="32"/>
        </w:rPr>
        <w:t>（一）政府性基金预算财政拨款收入支出决算表（本部门为公益二类事业单位2022年度无政府性基金预算财政拨款收入支出，此表为空表）</w:t>
      </w:r>
    </w:p>
    <w:p>
      <w:pPr>
        <w:pStyle w:val="71"/>
        <w:shd w:val="clear" w:color="auto" w:fill="FFFFFF"/>
        <w:spacing w:line="590" w:lineRule="atLeas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（二）国有资本经营预算财政拨款收入支出决算表（本部门为公益二类事业单位2022年度无国有资本经营预算财政拨款收入支出，此表为空表）</w:t>
      </w:r>
    </w:p>
    <w:p>
      <w:pPr>
        <w:pStyle w:val="71"/>
        <w:shd w:val="clear" w:color="auto" w:fill="FFFFFF"/>
        <w:spacing w:line="590" w:lineRule="atLeas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（三）“三公”经费、行政参公单位机关运行经费情况表（本部门为公益二类事业单位2022年度无“三公”经费、行政参公单位机关运行经费情况表，此表为空表）</w:t>
      </w:r>
    </w:p>
    <w:p>
      <w:pPr>
        <w:autoSpaceDE w:val="0"/>
        <w:autoSpaceDN w:val="0"/>
        <w:spacing w:line="590" w:lineRule="atLeast"/>
        <w:jc w:val="both"/>
        <w:rPr>
          <w:rFonts w:hint="default" w:cs="宋体"/>
          <w:sz w:val="32"/>
          <w:szCs w:val="32"/>
        </w:rPr>
      </w:pPr>
      <w:r>
        <w:rPr>
          <w:rFonts w:ascii="黑体" w:eastAsia="黑体" w:cs="黑体"/>
          <w:sz w:val="32"/>
          <w:szCs w:val="32"/>
        </w:rPr>
        <w:t>第三部分</w:t>
      </w:r>
      <w:r>
        <w:rPr>
          <w:rFonts w:hint="default" w:ascii="Calibri" w:hAnsi="Calibri" w:eastAsia="黑体" w:cs="Calibri"/>
          <w:sz w:val="32"/>
          <w:szCs w:val="32"/>
        </w:rPr>
        <w:t xml:space="preserve"> </w:t>
      </w:r>
      <w:r>
        <w:rPr>
          <w:rFonts w:ascii="黑体" w:eastAsia="黑体" w:cs="黑体"/>
          <w:sz w:val="32"/>
          <w:szCs w:val="32"/>
        </w:rPr>
        <w:t xml:space="preserve"> 2022年度部门决算情况说明</w:t>
      </w:r>
    </w:p>
    <w:p>
      <w:pPr>
        <w:autoSpaceDE w:val="0"/>
        <w:autoSpaceDN w:val="0"/>
        <w:spacing w:line="590" w:lineRule="atLeast"/>
        <w:ind w:firstLine="600"/>
        <w:jc w:val="both"/>
        <w:rPr>
          <w:rFonts w:hint="default" w:cs="宋体"/>
          <w:sz w:val="32"/>
          <w:szCs w:val="32"/>
        </w:rPr>
      </w:pPr>
      <w:r>
        <w:rPr>
          <w:rFonts w:ascii="黑体" w:eastAsia="黑体" w:cs="黑体"/>
          <w:sz w:val="32"/>
          <w:szCs w:val="32"/>
        </w:rPr>
        <w:t>一、收入决算情况说明</w:t>
      </w:r>
    </w:p>
    <w:p>
      <w:pPr>
        <w:pStyle w:val="70"/>
        <w:spacing w:line="600" w:lineRule="atLeast"/>
        <w:ind w:firstLine="600"/>
        <w:rPr>
          <w:rFonts w:cs="宋体"/>
          <w:sz w:val="32"/>
          <w:szCs w:val="32"/>
        </w:rPr>
      </w:pPr>
      <w:r>
        <w:rPr>
          <w:rFonts w:hint="eastAsia" w:ascii="仿宋" w:hAnsi="仿宋" w:eastAsia="仿宋" w:cs="仿宋"/>
          <w:sz w:val="32"/>
          <w:szCs w:val="32"/>
        </w:rPr>
        <w:t>昆明日报社部门2022年度收入合计117,153,352.97元。其中：财政拨款收入11,628,616.00元，占总收入的9.93%；上级补助收入0元，占总收入的0%；事业收入105,524,736.97元（含教育收费0元），占总收入的90.07%；经营收入0元，占总收入的0%；附属单位缴款收入0元，占总收入的0%；其他收入0元，占总收入的0%。与上年相比，收入合计减少24,785,053.20元，下降17.46%。其中：财政拨款收入减少15,463,967.00元，下降57.08%；上级补助收入减少0元，下降0%；事业收入减少9,321,086.20元，下降8.12%；经营收入减少0元，下降0%；附属单位上缴收入减少0元，下降0%；其他收入减少0元，下降0%。事业收入减少的主要原因广告收入、发行收入创收较2021年度减少，导致事业收入比去年减少，财政拨款收入减少为本年财政项目活动收入比去年减少。</w:t>
      </w:r>
    </w:p>
    <w:p>
      <w:pPr>
        <w:autoSpaceDE w:val="0"/>
        <w:autoSpaceDN w:val="0"/>
        <w:spacing w:line="590" w:lineRule="atLeast"/>
        <w:ind w:firstLine="600"/>
        <w:jc w:val="both"/>
        <w:rPr>
          <w:rFonts w:hint="default" w:cs="宋体"/>
          <w:sz w:val="32"/>
          <w:szCs w:val="32"/>
        </w:rPr>
      </w:pPr>
      <w:r>
        <w:rPr>
          <w:rFonts w:ascii="黑体" w:eastAsia="黑体" w:cs="黑体"/>
          <w:sz w:val="32"/>
          <w:szCs w:val="32"/>
        </w:rPr>
        <w:t>二、支出决算情况说明</w:t>
      </w:r>
    </w:p>
    <w:p>
      <w:pPr>
        <w:pStyle w:val="70"/>
        <w:spacing w:line="600" w:lineRule="atLeast"/>
        <w:ind w:firstLine="600"/>
        <w:rPr>
          <w:rFonts w:cs="宋体"/>
          <w:sz w:val="32"/>
          <w:szCs w:val="32"/>
        </w:rPr>
      </w:pPr>
      <w:r>
        <w:rPr>
          <w:rFonts w:hint="eastAsia" w:ascii="仿宋" w:hAnsi="仿宋" w:eastAsia="仿宋" w:cs="仿宋"/>
          <w:sz w:val="32"/>
          <w:szCs w:val="32"/>
        </w:rPr>
        <w:t>昆明日报社部门2022年度支出合计126,862,949.94元。其中：基本支出116,755,233.94元，占总支出的92.03%；项目支出10,107,716.00元，占总支出的7.97%；上缴上级支出0元，占总支出的0％；经营支出0元，占总支出的0％；对附属单位补助支出0元，占总支出的0％。与上年相比，支出合计减少19,209,896.95元，下降13.15%。其中：基本支出减少3,632,629.95元，下降3.02%；项目支出增减少15,577,267.00元，下降60.65%；上缴上级支出增加0元，增长0%；经营支出增加0元，增长0%；对附属单位补助支出增加0元，增长0%。与2021年支出合计146,072,846.89元对比减少19,209,896.95万元。其中：项目支出减少原因为财政预算资金安排减少，基本支出减少原因为印刷费、办公费、邮电费、物业管理费、差旅费、租赁费、劳务费、专用材料费减少。</w:t>
      </w:r>
    </w:p>
    <w:p>
      <w:pPr>
        <w:autoSpaceDE w:val="0"/>
        <w:autoSpaceDN w:val="0"/>
        <w:spacing w:line="590" w:lineRule="atLeast"/>
        <w:ind w:firstLine="600"/>
        <w:jc w:val="both"/>
        <w:rPr>
          <w:rFonts w:hint="default" w:cs="宋体"/>
          <w:sz w:val="32"/>
          <w:szCs w:val="32"/>
        </w:rPr>
      </w:pPr>
      <w:r>
        <w:rPr>
          <w:rFonts w:ascii="楷体" w:hAnsi="楷体" w:eastAsia="楷体" w:cs="楷体"/>
          <w:sz w:val="32"/>
          <w:szCs w:val="32"/>
        </w:rPr>
        <w:t>（一）基本支出情况</w:t>
      </w:r>
    </w:p>
    <w:p>
      <w:pPr>
        <w:pStyle w:val="70"/>
        <w:spacing w:line="600" w:lineRule="atLeast"/>
        <w:ind w:firstLine="600"/>
        <w:rPr>
          <w:rFonts w:cs="宋体"/>
          <w:sz w:val="32"/>
          <w:szCs w:val="32"/>
        </w:rPr>
      </w:pPr>
      <w:r>
        <w:rPr>
          <w:rFonts w:hint="eastAsia" w:ascii="仿宋" w:hAnsi="仿宋" w:eastAsia="仿宋" w:cs="仿宋"/>
          <w:sz w:val="32"/>
          <w:szCs w:val="32"/>
        </w:rPr>
        <w:t>2022年度用于保障昆明日报社机关、下属事业单位等机构正常运转的日常支出116,755,233.94元。其中：基本工资、津贴补贴等人员经费支出66,800,338.23元，占基本支出的57.21％；办公费、印刷费、水电费、办公设备购置等公用经费49,954,895.71元，占基本支出的42.79％。</w:t>
      </w:r>
      <w:r>
        <w:rPr>
          <w:rFonts w:hint="eastAsia" w:ascii="仿宋" w:hAnsi="仿宋" w:eastAsia="仿宋" w:cs="仿宋"/>
          <w:sz w:val="32"/>
          <w:szCs w:val="32"/>
          <w:shd w:val="clear" w:color="auto" w:fill="FFFFFF"/>
        </w:rPr>
        <w:t>与2021年120,387,863.89元对比减少3,632,629.95元，其中办公费500,459.03元，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支出的0.43%，与2021年728,714.32元对比减少228,255.29元、印刷费1,726,490.96元，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支出的1.48%，与2021年1,751,084.26元对比减少24,593.30元、水电费457,786.63元，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支出的0.39%，与2021年284,588.38元对比增长173,198.25元、邮电费198,172.12元，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支出的0.17%，与2021年247,698.85元对比减少49,526.73元、物业管理费322,999.06元，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支出的0.28%，与2021年467,379.50元对比减少144,380.44元、差旅费171,087.36元，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支出0.15%，与2021年181,306.74元对比减少10,219.38元、维修费553,788.88元，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支出的0.47%，与2021年136,225.63元对比增长417,563.25元、租赁费1,878,847.69元，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支出的1.61%，与2021年2,049,158.55元对比减少170,310.86元、会议费0.00元，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支出的0.00%，与2021年2,840元对比减少2,840元、培训费46,578.02元，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支出的0.04%，与2021年6,000元对比增长40,578.02元、业务招待费3,203元，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支出的0.00%，与2021年3,040元对比增长163元、专用材料费10,587,262.82元，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支出的9.07%，与2021年14,066,426.45元对比减少3,479,163.63元、劳务费5,831,337.77元，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支出的4.99%，与2021年9,208,966.73元对比减少3,377,628.96元、福利费1,447,413.74元，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支出的1.24%，与2021年1,200,702.38元对比增长246,711.36元、公务用车维护费561,385.01元，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支出的0.48%，与2021年504,026.49元对比增长57,358.52元、营业税金1,165,455.94元，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支出的1.00%，与2021年531,411.52元对比增长634,044.42元、其他商品和服务支出14,986,468.71元，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支出的12.84%，与2021年13,836,081.34元对比增长1,150,387.37元、其他交通费10,916.80元，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支出的0.01%、与2021年7,353.19元对比增长3,563.61元、委托业务费9,505,242.17元，</w:t>
      </w:r>
      <w:r>
        <w:rPr>
          <w:rStyle w:val="21"/>
          <w:rFonts w:hint="eastAsia" w:ascii="仿宋" w:hAnsi="仿宋" w:eastAsia="仿宋" w:cs="仿宋"/>
          <w:sz w:val="32"/>
          <w:szCs w:val="32"/>
          <w:shd w:val="clear" w:color="auto" w:fill="FFFFFF"/>
        </w:rPr>
        <w:t>占基本</w:t>
      </w:r>
      <w:r>
        <w:rPr>
          <w:rFonts w:hint="eastAsia" w:ascii="仿宋" w:hAnsi="仿宋" w:eastAsia="仿宋" w:cs="仿宋"/>
          <w:sz w:val="32"/>
          <w:szCs w:val="32"/>
          <w:shd w:val="clear" w:color="auto" w:fill="FFFFFF"/>
        </w:rPr>
        <w:t>支出的8.14%,与2021年4,612,027.12元对比增长4,893,215.05元。</w:t>
      </w:r>
    </w:p>
    <w:p>
      <w:pPr>
        <w:autoSpaceDE w:val="0"/>
        <w:autoSpaceDN w:val="0"/>
        <w:spacing w:line="590" w:lineRule="atLeast"/>
        <w:ind w:firstLine="600"/>
        <w:jc w:val="both"/>
        <w:rPr>
          <w:rFonts w:hint="default" w:cs="宋体"/>
          <w:sz w:val="32"/>
          <w:szCs w:val="32"/>
        </w:rPr>
      </w:pPr>
      <w:r>
        <w:rPr>
          <w:rFonts w:ascii="楷体" w:hAnsi="楷体" w:eastAsia="楷体" w:cs="楷体"/>
          <w:sz w:val="32"/>
          <w:szCs w:val="32"/>
        </w:rPr>
        <w:t>（二）项目支出情况</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2022年度用于保障昆明日报社机构、下属事业单位等机构为完成特定的行政工作任务或事业发展目标，用于专项业务工作的经费支出10,107,716.00元。其中：基本建设类项目支出0元。与上年25,684,983.00元对比减少15,577,267元，主要原因</w:t>
      </w:r>
      <w:r>
        <w:rPr>
          <w:rFonts w:ascii="仿宋" w:hAnsi="仿宋" w:eastAsia="仿宋" w:cs="仿宋"/>
          <w:sz w:val="32"/>
          <w:szCs w:val="32"/>
          <w:shd w:val="clear" w:color="auto" w:fill="FFFFFF"/>
        </w:rPr>
        <w:t>为2022年预算项目减少，</w:t>
      </w:r>
      <w:r>
        <w:rPr>
          <w:rFonts w:ascii="仿宋" w:hAnsi="仿宋" w:eastAsia="仿宋" w:cs="仿宋"/>
          <w:sz w:val="32"/>
          <w:szCs w:val="32"/>
        </w:rPr>
        <w:t>具体项目开支及开展工作情况。（</w:t>
      </w:r>
      <w:r>
        <w:rPr>
          <w:rFonts w:ascii="仿宋" w:hAnsi="仿宋" w:eastAsia="仿宋" w:cs="仿宋"/>
          <w:sz w:val="32"/>
          <w:szCs w:val="32"/>
          <w:shd w:val="clear" w:color="auto" w:fill="FFFFFF"/>
        </w:rPr>
        <w:t>详见：附件1项目支出及具体工作开展情况）</w:t>
      </w:r>
    </w:p>
    <w:p>
      <w:pPr>
        <w:autoSpaceDE w:val="0"/>
        <w:autoSpaceDN w:val="0"/>
        <w:spacing w:line="590" w:lineRule="atLeast"/>
        <w:ind w:firstLine="600"/>
        <w:jc w:val="both"/>
        <w:rPr>
          <w:rFonts w:hint="default" w:cs="宋体"/>
          <w:sz w:val="32"/>
          <w:szCs w:val="32"/>
        </w:rPr>
      </w:pPr>
      <w:r>
        <w:rPr>
          <w:rFonts w:ascii="黑体" w:eastAsia="黑体" w:cs="黑体"/>
          <w:sz w:val="32"/>
          <w:szCs w:val="32"/>
        </w:rPr>
        <w:t>三、一般公共预算财政拨款支出决算情况说明</w:t>
      </w:r>
    </w:p>
    <w:p>
      <w:pPr>
        <w:autoSpaceDE w:val="0"/>
        <w:autoSpaceDN w:val="0"/>
        <w:spacing w:line="590" w:lineRule="atLeast"/>
        <w:ind w:firstLine="600"/>
        <w:jc w:val="both"/>
        <w:rPr>
          <w:rFonts w:hint="default" w:cs="宋体"/>
          <w:sz w:val="32"/>
          <w:szCs w:val="32"/>
        </w:rPr>
      </w:pPr>
      <w:r>
        <w:rPr>
          <w:rFonts w:ascii="楷体" w:hAnsi="楷体" w:eastAsia="楷体" w:cs="楷体"/>
          <w:sz w:val="32"/>
          <w:szCs w:val="32"/>
        </w:rPr>
        <w:t>（一）一般公共预算财政拨款支出决算总体情况</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昆明日报社部门2022年度一般公共预算财政拨款支出11,628,616.00元，占本年支出合计的9.17%。与上年相比减少15,463,967.00元，下降57.08%，主要原因为2022年预算项目减少。</w:t>
      </w:r>
    </w:p>
    <w:p>
      <w:pPr>
        <w:autoSpaceDE w:val="0"/>
        <w:autoSpaceDN w:val="0"/>
        <w:spacing w:line="590" w:lineRule="atLeast"/>
        <w:ind w:firstLine="600"/>
        <w:jc w:val="both"/>
        <w:rPr>
          <w:rFonts w:hint="default" w:cs="宋体"/>
          <w:sz w:val="32"/>
          <w:szCs w:val="32"/>
        </w:rPr>
      </w:pPr>
      <w:r>
        <w:rPr>
          <w:rFonts w:ascii="楷体" w:hAnsi="楷体" w:eastAsia="楷体" w:cs="楷体"/>
          <w:sz w:val="32"/>
          <w:szCs w:val="32"/>
        </w:rPr>
        <w:t>（二）一般公共预算财政拨款支出决算具体情况</w:t>
      </w:r>
    </w:p>
    <w:p>
      <w:pPr>
        <w:autoSpaceDE w:val="0"/>
        <w:autoSpaceDN w:val="0"/>
        <w:spacing w:line="590" w:lineRule="atLeast"/>
        <w:ind w:firstLine="600"/>
        <w:jc w:val="both"/>
        <w:rPr>
          <w:rFonts w:hint="default" w:ascii="仿宋" w:hAnsi="仿宋" w:eastAsia="仿宋" w:cs="仿宋"/>
          <w:sz w:val="32"/>
          <w:szCs w:val="32"/>
        </w:rPr>
      </w:pPr>
      <w:r>
        <w:rPr>
          <w:rFonts w:hint="default" w:ascii="Calibri" w:hAnsi="Calibri" w:eastAsia="仿宋" w:cs="Calibri"/>
          <w:sz w:val="32"/>
          <w:szCs w:val="32"/>
        </w:rPr>
        <w:t xml:space="preserve"> </w:t>
      </w:r>
      <w:r>
        <w:rPr>
          <w:rFonts w:ascii="仿宋" w:hAnsi="仿宋" w:eastAsia="仿宋" w:cs="仿宋"/>
          <w:sz w:val="32"/>
          <w:szCs w:val="32"/>
        </w:rPr>
        <w:t xml:space="preserve"> 1.一般公共服务（类）支出1,187,100.00元，占一般公共预算财政拨款总支出的10.21%。主要用于宣传事务</w:t>
      </w:r>
      <w:r>
        <w:rPr>
          <w:rFonts w:hint="default" w:ascii="仿宋" w:hAnsi="仿宋" w:eastAsia="仿宋" w:cs="仿宋"/>
          <w:sz w:val="32"/>
          <w:szCs w:val="32"/>
        </w:rPr>
        <w:t>3</w:t>
      </w:r>
      <w:r>
        <w:rPr>
          <w:rFonts w:ascii="仿宋" w:hAnsi="仿宋" w:eastAsia="仿宋" w:cs="仿宋"/>
          <w:sz w:val="32"/>
          <w:szCs w:val="32"/>
        </w:rPr>
        <w:t>61,000</w:t>
      </w:r>
      <w:r>
        <w:rPr>
          <w:rFonts w:hint="default" w:ascii="仿宋" w:hAnsi="仿宋" w:eastAsia="仿宋" w:cs="仿宋"/>
          <w:sz w:val="32"/>
          <w:szCs w:val="32"/>
        </w:rPr>
        <w:t>.00</w:t>
      </w:r>
      <w:r>
        <w:rPr>
          <w:rFonts w:ascii="仿宋" w:hAnsi="仿宋" w:eastAsia="仿宋" w:cs="仿宋"/>
          <w:sz w:val="32"/>
          <w:szCs w:val="32"/>
        </w:rPr>
        <w:t>元，纪检监察事务696,100</w:t>
      </w:r>
      <w:r>
        <w:rPr>
          <w:rFonts w:hint="default" w:ascii="仿宋" w:hAnsi="仿宋" w:eastAsia="仿宋" w:cs="仿宋"/>
          <w:sz w:val="32"/>
          <w:szCs w:val="32"/>
        </w:rPr>
        <w:t>.00</w:t>
      </w:r>
      <w:r>
        <w:rPr>
          <w:rFonts w:ascii="仿宋" w:hAnsi="仿宋" w:eastAsia="仿宋" w:cs="仿宋"/>
          <w:sz w:val="32"/>
          <w:szCs w:val="32"/>
        </w:rPr>
        <w:t>元，其他宣传事务支出100,000</w:t>
      </w:r>
      <w:r>
        <w:rPr>
          <w:rFonts w:hint="default" w:ascii="仿宋" w:hAnsi="仿宋" w:eastAsia="仿宋" w:cs="仿宋"/>
          <w:sz w:val="32"/>
          <w:szCs w:val="32"/>
        </w:rPr>
        <w:t>.00</w:t>
      </w:r>
      <w:r>
        <w:rPr>
          <w:rFonts w:ascii="仿宋" w:hAnsi="仿宋" w:eastAsia="仿宋" w:cs="仿宋"/>
          <w:sz w:val="32"/>
          <w:szCs w:val="32"/>
        </w:rPr>
        <w:t>元，组织事务30,000</w:t>
      </w:r>
      <w:r>
        <w:rPr>
          <w:rFonts w:hint="default" w:ascii="仿宋" w:hAnsi="仿宋" w:eastAsia="仿宋" w:cs="仿宋"/>
          <w:sz w:val="32"/>
          <w:szCs w:val="32"/>
        </w:rPr>
        <w:t>.00</w:t>
      </w:r>
      <w:r>
        <w:rPr>
          <w:rFonts w:ascii="仿宋" w:hAnsi="仿宋" w:eastAsia="仿宋" w:cs="仿宋"/>
          <w:sz w:val="32"/>
          <w:szCs w:val="32"/>
        </w:rPr>
        <w:t>元。具体为： 1.昆财行〔2022〕51号廉洁文化产品制作传播项目经费、2.昆财教〔2022〕88号第三届昆明市“学习强国·学习达人”学习竞赛经费、3.昆财教〔2022〕185号喜迎党的二十大党的创新理论我来讲理论宣讲经费、4.昆财教〔2022〕69号党务政务信息公开新闻发布专项经费、5. 昆财行〔2022〕81号云南省人才发展专项资金新增经费、6昆财教〔2022〕185号2021年高层次人才特殊生活补贴经费。</w:t>
      </w:r>
    </w:p>
    <w:p>
      <w:pPr>
        <w:autoSpaceDE w:val="0"/>
        <w:autoSpaceDN w:val="0"/>
        <w:spacing w:line="590" w:lineRule="atLeast"/>
        <w:ind w:firstLine="600"/>
        <w:jc w:val="both"/>
        <w:rPr>
          <w:rFonts w:hint="default" w:ascii="仿宋" w:hAnsi="仿宋" w:eastAsia="仿宋" w:cs="仿宋"/>
          <w:sz w:val="32"/>
          <w:szCs w:val="32"/>
        </w:rPr>
      </w:pPr>
      <w:r>
        <w:rPr>
          <w:rFonts w:hint="default" w:ascii="Calibri" w:hAnsi="Calibri" w:eastAsia="仿宋" w:cs="Calibri"/>
          <w:sz w:val="32"/>
          <w:szCs w:val="32"/>
        </w:rPr>
        <w:t xml:space="preserve"> </w:t>
      </w:r>
      <w:r>
        <w:rPr>
          <w:rFonts w:ascii="仿宋" w:hAnsi="仿宋" w:eastAsia="仿宋" w:cs="仿宋"/>
          <w:sz w:val="32"/>
          <w:szCs w:val="32"/>
        </w:rPr>
        <w:t xml:space="preserve"> 2.外交（类）支出0元，占一般公共预算财政拨款总支出的0%。</w:t>
      </w:r>
    </w:p>
    <w:p>
      <w:pPr>
        <w:autoSpaceDE w:val="0"/>
        <w:autoSpaceDN w:val="0"/>
        <w:spacing w:line="590" w:lineRule="atLeast"/>
        <w:ind w:firstLine="600"/>
        <w:jc w:val="both"/>
        <w:rPr>
          <w:rFonts w:hint="default" w:ascii="仿宋" w:hAnsi="仿宋" w:eastAsia="仿宋" w:cs="仿宋"/>
          <w:sz w:val="32"/>
          <w:szCs w:val="32"/>
        </w:rPr>
      </w:pPr>
      <w:r>
        <w:rPr>
          <w:rFonts w:hint="default" w:ascii="Calibri" w:hAnsi="Calibri" w:eastAsia="仿宋" w:cs="Calibri"/>
          <w:sz w:val="32"/>
          <w:szCs w:val="32"/>
        </w:rPr>
        <w:t xml:space="preserve"> </w:t>
      </w:r>
      <w:r>
        <w:rPr>
          <w:rFonts w:ascii="仿宋" w:hAnsi="仿宋" w:eastAsia="仿宋" w:cs="仿宋"/>
          <w:sz w:val="32"/>
          <w:szCs w:val="32"/>
        </w:rPr>
        <w:t xml:space="preserve"> 3.国防（类）支出0元，占一般公共预算财政拨款总支出的0%。</w:t>
      </w:r>
    </w:p>
    <w:p>
      <w:pPr>
        <w:autoSpaceDE w:val="0"/>
        <w:autoSpaceDN w:val="0"/>
        <w:spacing w:line="590" w:lineRule="atLeast"/>
        <w:ind w:firstLine="600"/>
        <w:jc w:val="both"/>
        <w:rPr>
          <w:rFonts w:hint="default" w:cs="宋体"/>
          <w:sz w:val="32"/>
          <w:szCs w:val="32"/>
        </w:rPr>
      </w:pPr>
      <w:r>
        <w:rPr>
          <w:rFonts w:hint="default" w:ascii="Calibri" w:hAnsi="Calibri" w:eastAsia="仿宋" w:cs="Calibri"/>
          <w:sz w:val="32"/>
          <w:szCs w:val="32"/>
        </w:rPr>
        <w:t xml:space="preserve"> </w:t>
      </w:r>
      <w:r>
        <w:rPr>
          <w:rFonts w:ascii="仿宋" w:hAnsi="仿宋" w:eastAsia="仿宋" w:cs="仿宋"/>
          <w:sz w:val="32"/>
          <w:szCs w:val="32"/>
        </w:rPr>
        <w:t xml:space="preserve"> 4.公共安全（类）支出0元，占一般公共预算财政拨款总支出的0%。</w:t>
      </w:r>
    </w:p>
    <w:p>
      <w:pPr>
        <w:autoSpaceDE w:val="0"/>
        <w:autoSpaceDN w:val="0"/>
        <w:spacing w:line="590" w:lineRule="atLeast"/>
        <w:ind w:firstLine="600"/>
        <w:jc w:val="both"/>
        <w:rPr>
          <w:rFonts w:hint="default" w:cs="宋体"/>
          <w:sz w:val="32"/>
          <w:szCs w:val="32"/>
        </w:rPr>
      </w:pPr>
      <w:r>
        <w:rPr>
          <w:rFonts w:hint="default" w:ascii="Calibri" w:hAnsi="Calibri" w:eastAsia="仿宋" w:cs="Calibri"/>
          <w:sz w:val="32"/>
          <w:szCs w:val="32"/>
        </w:rPr>
        <w:t xml:space="preserve"> </w:t>
      </w:r>
      <w:r>
        <w:rPr>
          <w:rFonts w:ascii="仿宋" w:hAnsi="仿宋" w:eastAsia="仿宋" w:cs="仿宋"/>
          <w:sz w:val="32"/>
          <w:szCs w:val="32"/>
        </w:rPr>
        <w:t xml:space="preserve"> 5.教育（类）支出0元，占一般公共预算财政拨款总支出的0%。</w:t>
      </w:r>
    </w:p>
    <w:p>
      <w:pPr>
        <w:autoSpaceDE w:val="0"/>
        <w:autoSpaceDN w:val="0"/>
        <w:spacing w:line="590" w:lineRule="atLeast"/>
        <w:ind w:firstLine="600"/>
        <w:jc w:val="both"/>
        <w:rPr>
          <w:rFonts w:hint="default" w:cs="宋体"/>
          <w:sz w:val="32"/>
          <w:szCs w:val="32"/>
        </w:rPr>
      </w:pPr>
      <w:r>
        <w:rPr>
          <w:rFonts w:hint="default" w:ascii="Calibri" w:hAnsi="Calibri" w:eastAsia="仿宋" w:cs="Calibri"/>
          <w:sz w:val="32"/>
          <w:szCs w:val="32"/>
        </w:rPr>
        <w:t xml:space="preserve"> </w:t>
      </w:r>
      <w:r>
        <w:rPr>
          <w:rFonts w:ascii="仿宋" w:hAnsi="仿宋" w:eastAsia="仿宋" w:cs="仿宋"/>
          <w:sz w:val="32"/>
          <w:szCs w:val="32"/>
        </w:rPr>
        <w:t xml:space="preserve"> 6.科学技术（类）支出0元，占一般公共预算财政拨款总支出的0%。</w:t>
      </w:r>
    </w:p>
    <w:p>
      <w:pPr>
        <w:autoSpaceDE w:val="0"/>
        <w:autoSpaceDN w:val="0"/>
        <w:spacing w:line="590" w:lineRule="atLeast"/>
        <w:ind w:firstLine="600"/>
        <w:jc w:val="both"/>
        <w:rPr>
          <w:rFonts w:hint="default" w:ascii="仿宋" w:hAnsi="仿宋" w:eastAsia="仿宋" w:cs="仿宋"/>
          <w:sz w:val="32"/>
          <w:szCs w:val="32"/>
        </w:rPr>
      </w:pPr>
      <w:r>
        <w:rPr>
          <w:rFonts w:hint="default" w:ascii="Calibri" w:hAnsi="Calibri" w:eastAsia="仿宋" w:cs="Calibri"/>
          <w:sz w:val="32"/>
          <w:szCs w:val="32"/>
        </w:rPr>
        <w:t xml:space="preserve"> </w:t>
      </w:r>
      <w:r>
        <w:rPr>
          <w:rFonts w:ascii="仿宋" w:hAnsi="仿宋" w:eastAsia="仿宋" w:cs="仿宋"/>
          <w:sz w:val="32"/>
          <w:szCs w:val="32"/>
        </w:rPr>
        <w:t xml:space="preserve"> 7.文化旅游体育与传媒（类）支出10,441,516.00元，占一般公共预算财政拨款总支出的89.79%。主要用于出版发行10,441,516.00元；（1）昆财教〔2022〕7号报纸印刷用新闻纸补助资金，（2）昆财教〔2022〕7号《看昆明》外宣杂志编辑出版补助资金，（3）昆财教〔2022〕7号昆明信息港互联网新闻宣传和政务服务经费，（4）昆财教〔2022〕88号“党的创新理论我来讲”理论宣讲活动专项经费，（5）昆财行〔2022〕51号廉洁文化产品制作说传播项目经费，（6）昆财教〔2022〕111号2022年省理论宣讲大赛节目《振兴》排演经费，（7）昆财行〔2021〕219号云南省人才发展专项资金经费，（8）昆财教〔2022〕160号昆明市“当好排头兵”大竞赛活动展陈布展项目经费，（9）昆财教〔2022〕178号第三届春城飞花令活动经费，（10）昆财教〔2022〕178号第十届书香昆明系列活动经费，（11）昆财教〔2022〕178号《演艺昆明》多媒体平台运营建设及特刊发行项目的经费，（12）昆财教〔2022〕185号对个人和家庭的补助。</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8.社会保障和就业（类）支出0元，占一般公共预算财政拨款总支出的0%。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9.卫生健康（类）支出0元，占一般公共预算财政拨款总支出的0%。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10.节能环保（类）支出0元，占一般公共预算财政拨款总支出的0%。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11.城乡社区（类）支出0元，占一般公共预算财政拨款总支出的0%。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12.农林水（类）支出0元，占一般公共预算财政拨款总支出的0%。</w:t>
      </w:r>
    </w:p>
    <w:p>
      <w:pPr>
        <w:autoSpaceDE w:val="0"/>
        <w:autoSpaceDN w:val="0"/>
        <w:spacing w:line="590" w:lineRule="atLeast"/>
        <w:ind w:firstLine="640" w:firstLineChars="200"/>
        <w:jc w:val="both"/>
        <w:rPr>
          <w:rFonts w:hint="default" w:ascii="仿宋" w:hAnsi="仿宋" w:eastAsia="仿宋" w:cs="仿宋"/>
          <w:sz w:val="32"/>
          <w:szCs w:val="32"/>
        </w:rPr>
      </w:pPr>
      <w:r>
        <w:rPr>
          <w:rFonts w:ascii="仿宋" w:hAnsi="仿宋" w:eastAsia="仿宋" w:cs="仿宋"/>
          <w:sz w:val="32"/>
          <w:szCs w:val="32"/>
        </w:rPr>
        <w:t>13.交通运输（类）支出0元，占一般公共预算财政拨款总支出的0%。</w:t>
      </w:r>
    </w:p>
    <w:p>
      <w:pPr>
        <w:autoSpaceDE w:val="0"/>
        <w:autoSpaceDN w:val="0"/>
        <w:spacing w:line="590" w:lineRule="atLeast"/>
        <w:ind w:firstLine="640" w:firstLineChars="200"/>
        <w:jc w:val="both"/>
        <w:rPr>
          <w:rFonts w:hint="default" w:ascii="仿宋" w:hAnsi="仿宋" w:eastAsia="仿宋" w:cs="仿宋"/>
          <w:sz w:val="32"/>
          <w:szCs w:val="32"/>
        </w:rPr>
      </w:pPr>
      <w:r>
        <w:rPr>
          <w:rFonts w:ascii="仿宋" w:hAnsi="仿宋" w:eastAsia="仿宋" w:cs="仿宋"/>
          <w:sz w:val="32"/>
          <w:szCs w:val="32"/>
        </w:rPr>
        <w:t>14.资源勘探工业信息等（类）支出类0元，占一般公共预算财政拨款总支出的0%。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15.商业服务业等（类）支出0元，占一般公共预算财政拨款总支出的0%。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16.金融（类）支出0元，占一般公共预算财政拨款总支出的0%。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17.援助其他地区（类）支出0元，占一般公共预算财政拨款总支出的0%。</w:t>
      </w:r>
    </w:p>
    <w:p>
      <w:pPr>
        <w:autoSpaceDE w:val="0"/>
        <w:autoSpaceDN w:val="0"/>
        <w:spacing w:line="590" w:lineRule="atLeast"/>
        <w:ind w:firstLine="640" w:firstLineChars="200"/>
        <w:jc w:val="both"/>
        <w:rPr>
          <w:rFonts w:hint="default" w:ascii="仿宋" w:hAnsi="仿宋" w:eastAsia="仿宋" w:cs="仿宋"/>
          <w:sz w:val="32"/>
          <w:szCs w:val="32"/>
        </w:rPr>
      </w:pPr>
      <w:r>
        <w:rPr>
          <w:rFonts w:ascii="仿宋" w:hAnsi="仿宋" w:eastAsia="仿宋" w:cs="仿宋"/>
          <w:sz w:val="32"/>
          <w:szCs w:val="32"/>
        </w:rPr>
        <w:t>18.自然资源海洋气象等（类）支出0元，占一般公共预算财政拨款总支出的0%。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19.住房保障（类）支出0元，占一般公共预算财政拨款总支出的0%。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20.粮油物资储备（类）支出0元，占一般公共预算财政拨款总支出的0%。</w:t>
      </w:r>
    </w:p>
    <w:p>
      <w:pPr>
        <w:autoSpaceDE w:val="0"/>
        <w:autoSpaceDN w:val="0"/>
        <w:spacing w:line="590" w:lineRule="atLeast"/>
        <w:ind w:firstLine="640" w:firstLineChars="200"/>
        <w:jc w:val="both"/>
        <w:rPr>
          <w:rFonts w:hint="default" w:ascii="仿宋" w:hAnsi="仿宋" w:eastAsia="仿宋" w:cs="仿宋"/>
          <w:sz w:val="32"/>
          <w:szCs w:val="32"/>
        </w:rPr>
      </w:pPr>
      <w:r>
        <w:rPr>
          <w:rFonts w:ascii="仿宋" w:hAnsi="仿宋" w:eastAsia="仿宋" w:cs="仿宋"/>
          <w:sz w:val="32"/>
          <w:szCs w:val="32"/>
        </w:rPr>
        <w:t>21.国有资本经营预算（类）支出0元，占一般公共预算财政拨款总支出的0%。</w:t>
      </w:r>
    </w:p>
    <w:p>
      <w:pPr>
        <w:autoSpaceDE w:val="0"/>
        <w:autoSpaceDN w:val="0"/>
        <w:spacing w:line="590" w:lineRule="atLeast"/>
        <w:ind w:firstLine="640" w:firstLineChars="200"/>
        <w:jc w:val="both"/>
        <w:rPr>
          <w:rFonts w:hint="default" w:ascii="仿宋" w:hAnsi="仿宋" w:eastAsia="仿宋" w:cs="仿宋"/>
          <w:sz w:val="32"/>
          <w:szCs w:val="32"/>
        </w:rPr>
      </w:pPr>
      <w:r>
        <w:rPr>
          <w:rFonts w:ascii="仿宋" w:hAnsi="仿宋" w:eastAsia="仿宋" w:cs="仿宋"/>
          <w:sz w:val="32"/>
          <w:szCs w:val="32"/>
        </w:rPr>
        <w:t>22.灾害防治及应急管理（类）支出0元，占一般公共预算财政拨款总支出的0%。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23.其他（类）支出0元，占一般公共预算财政拨款总支出的0%。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24.债务还本（类）支出0元，占一般公共预算财政拨款总支出的0%。</w:t>
      </w:r>
    </w:p>
    <w:p>
      <w:pPr>
        <w:autoSpaceDE w:val="0"/>
        <w:autoSpaceDN w:val="0"/>
        <w:spacing w:line="590" w:lineRule="atLeast"/>
        <w:ind w:firstLine="640" w:firstLineChars="200"/>
        <w:jc w:val="both"/>
        <w:rPr>
          <w:rFonts w:hint="default" w:ascii="仿宋" w:hAnsi="仿宋" w:eastAsia="仿宋" w:cs="仿宋"/>
          <w:sz w:val="32"/>
          <w:szCs w:val="32"/>
        </w:rPr>
      </w:pPr>
      <w:r>
        <w:rPr>
          <w:rFonts w:ascii="仿宋" w:hAnsi="仿宋" w:eastAsia="仿宋" w:cs="仿宋"/>
          <w:sz w:val="32"/>
          <w:szCs w:val="32"/>
        </w:rPr>
        <w:t>25.债务付息（类）支出0元，占一般公共预算财政拨款总支出的0%。</w:t>
      </w:r>
    </w:p>
    <w:p>
      <w:pPr>
        <w:autoSpaceDE w:val="0"/>
        <w:autoSpaceDN w:val="0"/>
        <w:spacing w:line="590" w:lineRule="atLeast"/>
        <w:ind w:firstLine="640" w:firstLineChars="200"/>
        <w:jc w:val="both"/>
        <w:rPr>
          <w:rFonts w:hint="default" w:cs="宋体"/>
          <w:sz w:val="32"/>
          <w:szCs w:val="32"/>
        </w:rPr>
      </w:pPr>
      <w:r>
        <w:rPr>
          <w:rFonts w:ascii="仿宋" w:hAnsi="仿宋" w:eastAsia="仿宋" w:cs="仿宋"/>
          <w:sz w:val="32"/>
          <w:szCs w:val="32"/>
        </w:rPr>
        <w:t>26.抗疫特别国债安排（类）支出0元，占一般公共预算财政拨款总支出的0%。</w:t>
      </w:r>
    </w:p>
    <w:p>
      <w:pPr>
        <w:autoSpaceDE w:val="0"/>
        <w:autoSpaceDN w:val="0"/>
        <w:spacing w:line="590" w:lineRule="atLeast"/>
        <w:ind w:firstLine="601"/>
        <w:jc w:val="both"/>
        <w:rPr>
          <w:rFonts w:hint="default" w:cs="宋体"/>
          <w:sz w:val="32"/>
          <w:szCs w:val="32"/>
        </w:rPr>
      </w:pPr>
      <w:r>
        <w:rPr>
          <w:rFonts w:ascii="黑体" w:eastAsia="黑体" w:cs="黑体"/>
          <w:sz w:val="32"/>
          <w:szCs w:val="32"/>
        </w:rPr>
        <w:t>四、财政拨款</w:t>
      </w:r>
      <w:r>
        <w:rPr>
          <w:rFonts w:hint="default" w:ascii="Times New Roman" w:hAnsi="Times New Roman"/>
          <w:sz w:val="32"/>
          <w:szCs w:val="32"/>
        </w:rPr>
        <w:t>“</w:t>
      </w:r>
      <w:r>
        <w:rPr>
          <w:rFonts w:ascii="黑体" w:eastAsia="黑体" w:cs="黑体"/>
          <w:sz w:val="32"/>
          <w:szCs w:val="32"/>
        </w:rPr>
        <w:t>三公</w:t>
      </w:r>
      <w:r>
        <w:rPr>
          <w:rFonts w:hint="default" w:ascii="Times New Roman" w:hAnsi="Times New Roman"/>
          <w:sz w:val="32"/>
          <w:szCs w:val="32"/>
        </w:rPr>
        <w:t>”</w:t>
      </w:r>
      <w:r>
        <w:rPr>
          <w:rFonts w:ascii="黑体" w:eastAsia="黑体" w:cs="黑体"/>
          <w:sz w:val="32"/>
          <w:szCs w:val="32"/>
        </w:rPr>
        <w:t xml:space="preserve">经费支出决算情况说明 </w:t>
      </w:r>
    </w:p>
    <w:p>
      <w:pPr>
        <w:autoSpaceDE w:val="0"/>
        <w:autoSpaceDN w:val="0"/>
        <w:spacing w:line="590" w:lineRule="atLeast"/>
        <w:ind w:firstLine="601"/>
        <w:jc w:val="both"/>
        <w:rPr>
          <w:rFonts w:hint="default" w:cs="宋体"/>
          <w:sz w:val="32"/>
          <w:szCs w:val="32"/>
        </w:rPr>
      </w:pPr>
      <w:r>
        <w:rPr>
          <w:rFonts w:ascii="仿宋" w:hAnsi="仿宋" w:eastAsia="仿宋" w:cs="仿宋"/>
          <w:sz w:val="32"/>
          <w:szCs w:val="32"/>
        </w:rPr>
        <w:t>2022年度财政拨款</w:t>
      </w:r>
      <w:r>
        <w:rPr>
          <w:rFonts w:hint="default" w:ascii="Times New Roman" w:hAnsi="Times New Roman"/>
          <w:sz w:val="32"/>
          <w:szCs w:val="32"/>
        </w:rPr>
        <w:t>“</w:t>
      </w:r>
      <w:r>
        <w:rPr>
          <w:rFonts w:ascii="仿宋" w:hAnsi="仿宋" w:eastAsia="仿宋" w:cs="仿宋"/>
          <w:sz w:val="32"/>
          <w:szCs w:val="32"/>
        </w:rPr>
        <w:t>三公</w:t>
      </w:r>
      <w:r>
        <w:rPr>
          <w:rFonts w:hint="default" w:ascii="Times New Roman" w:hAnsi="Times New Roman"/>
          <w:sz w:val="32"/>
          <w:szCs w:val="32"/>
        </w:rPr>
        <w:t>”</w:t>
      </w:r>
      <w:r>
        <w:rPr>
          <w:rFonts w:ascii="仿宋" w:hAnsi="仿宋" w:eastAsia="仿宋" w:cs="仿宋"/>
          <w:sz w:val="32"/>
          <w:szCs w:val="32"/>
        </w:rPr>
        <w:t>经费支出决算中，财政拨款</w:t>
      </w:r>
      <w:r>
        <w:rPr>
          <w:rFonts w:hint="default" w:ascii="Times New Roman" w:hAnsi="Times New Roman"/>
          <w:sz w:val="32"/>
          <w:szCs w:val="32"/>
        </w:rPr>
        <w:t>“</w:t>
      </w:r>
      <w:r>
        <w:rPr>
          <w:rFonts w:ascii="仿宋" w:hAnsi="仿宋" w:eastAsia="仿宋" w:cs="仿宋"/>
          <w:sz w:val="32"/>
          <w:szCs w:val="32"/>
        </w:rPr>
        <w:t>三公</w:t>
      </w:r>
      <w:r>
        <w:rPr>
          <w:rFonts w:hint="default" w:ascii="Times New Roman" w:hAnsi="Times New Roman"/>
          <w:sz w:val="32"/>
          <w:szCs w:val="32"/>
        </w:rPr>
        <w:t>”</w:t>
      </w:r>
      <w:r>
        <w:rPr>
          <w:rFonts w:ascii="仿宋" w:hAnsi="仿宋" w:eastAsia="仿宋" w:cs="仿宋"/>
          <w:sz w:val="32"/>
          <w:szCs w:val="32"/>
        </w:rPr>
        <w:t>经费支出年初预算为0元，支出决算为0元，完成年初预算的0%。其中：因公出国（境）费支出决算0元，占总支出决算的0%；公务用车购置费支出决算0元，占总支出决算的0%；公务用车运行维护费支出决算0元，占总支出决算的0%；公务接待费支出决算0元，占总支出决算的0%，具体是国内接待费支出决算0元（其中：外事接待费支出决算0元），国（境）外接待费支出决算0元。明细情况如下：</w:t>
      </w:r>
    </w:p>
    <w:p>
      <w:pPr>
        <w:autoSpaceDE w:val="0"/>
        <w:autoSpaceDN w:val="0"/>
        <w:spacing w:line="590" w:lineRule="atLeast"/>
        <w:ind w:firstLine="600"/>
        <w:jc w:val="both"/>
        <w:rPr>
          <w:rFonts w:hint="default" w:cs="宋体"/>
          <w:sz w:val="32"/>
          <w:szCs w:val="32"/>
        </w:rPr>
      </w:pPr>
      <w:r>
        <w:rPr>
          <w:rFonts w:ascii="楷体" w:hAnsi="楷体" w:eastAsia="楷体" w:cs="楷体"/>
          <w:sz w:val="32"/>
          <w:szCs w:val="32"/>
        </w:rPr>
        <w:t>(一)</w:t>
      </w:r>
      <w:r>
        <w:rPr>
          <w:rFonts w:ascii="黑体" w:eastAsia="黑体" w:cs="黑体"/>
          <w:sz w:val="32"/>
          <w:szCs w:val="32"/>
        </w:rPr>
        <w:t xml:space="preserve"> </w:t>
      </w:r>
      <w:r>
        <w:rPr>
          <w:rFonts w:ascii="楷体" w:hAnsi="楷体" w:eastAsia="楷体" w:cs="楷体"/>
          <w:sz w:val="32"/>
          <w:szCs w:val="32"/>
        </w:rPr>
        <w:t>一般公共预算财政拨款</w:t>
      </w:r>
      <w:r>
        <w:rPr>
          <w:rFonts w:hint="default" w:ascii="Times New Roman" w:hAnsi="Times New Roman"/>
          <w:sz w:val="32"/>
          <w:szCs w:val="32"/>
        </w:rPr>
        <w:t>“</w:t>
      </w:r>
      <w:r>
        <w:rPr>
          <w:rFonts w:ascii="楷体" w:hAnsi="楷体" w:eastAsia="楷体" w:cs="楷体"/>
          <w:sz w:val="32"/>
          <w:szCs w:val="32"/>
        </w:rPr>
        <w:t>三公</w:t>
      </w:r>
      <w:r>
        <w:rPr>
          <w:rFonts w:hint="default" w:ascii="Times New Roman" w:hAnsi="Times New Roman"/>
          <w:sz w:val="32"/>
          <w:szCs w:val="32"/>
        </w:rPr>
        <w:t>”</w:t>
      </w:r>
      <w:r>
        <w:rPr>
          <w:rFonts w:ascii="楷体" w:hAnsi="楷体" w:eastAsia="楷体" w:cs="楷体"/>
          <w:sz w:val="32"/>
          <w:szCs w:val="32"/>
        </w:rPr>
        <w:t>经费支出决算总体情况</w:t>
      </w:r>
    </w:p>
    <w:p>
      <w:pPr>
        <w:pStyle w:val="71"/>
        <w:spacing w:line="600" w:lineRule="atLeast"/>
        <w:ind w:firstLine="600"/>
        <w:jc w:val="both"/>
        <w:rPr>
          <w:rFonts w:hint="default" w:cs="宋体"/>
          <w:sz w:val="32"/>
          <w:szCs w:val="32"/>
        </w:rPr>
      </w:pPr>
      <w:r>
        <w:rPr>
          <w:rFonts w:ascii="仿宋" w:hAnsi="仿宋" w:eastAsia="仿宋" w:cs="仿宋"/>
          <w:sz w:val="32"/>
          <w:szCs w:val="32"/>
        </w:rPr>
        <w:t>昆明日报社部门2022年度一般公共预算财政拨款</w:t>
      </w:r>
      <w:r>
        <w:rPr>
          <w:rFonts w:hint="default" w:ascii="Times New Roman" w:hAnsi="Times New Roman"/>
          <w:sz w:val="32"/>
          <w:szCs w:val="32"/>
        </w:rPr>
        <w:t>“</w:t>
      </w:r>
      <w:r>
        <w:rPr>
          <w:rFonts w:ascii="仿宋" w:hAnsi="仿宋" w:eastAsia="仿宋" w:cs="仿宋"/>
          <w:sz w:val="32"/>
          <w:szCs w:val="32"/>
        </w:rPr>
        <w:t>三公</w:t>
      </w:r>
      <w:r>
        <w:rPr>
          <w:rFonts w:hint="default" w:ascii="Times New Roman" w:hAnsi="Times New Roman"/>
          <w:sz w:val="32"/>
          <w:szCs w:val="32"/>
        </w:rPr>
        <w:t>”</w:t>
      </w:r>
      <w:r>
        <w:rPr>
          <w:rFonts w:ascii="仿宋" w:hAnsi="仿宋" w:eastAsia="仿宋" w:cs="仿宋"/>
          <w:sz w:val="32"/>
          <w:szCs w:val="32"/>
        </w:rPr>
        <w:t>经费支出年初预算为0元，支出决算为0元，完成年初预算的0%。其中：因公出国（境）费支出决算为0元，完成年初预算的0%；公务用车购置费支出决算为0元，完成年初预算的0%；公务用车运行维护费支出决算为0元，完成年初预算的0%；公务接待费支出决算为0元，完成年初预算的0%。主要原因我单位无财政拨款“三公”经费。</w:t>
      </w:r>
    </w:p>
    <w:p>
      <w:pPr>
        <w:pStyle w:val="71"/>
        <w:spacing w:line="600" w:lineRule="atLeast"/>
        <w:ind w:firstLine="600"/>
        <w:jc w:val="both"/>
        <w:rPr>
          <w:rFonts w:hint="default" w:ascii="仿宋" w:hAnsi="仿宋" w:eastAsia="仿宋" w:cs="仿宋"/>
          <w:sz w:val="32"/>
          <w:szCs w:val="32"/>
        </w:rPr>
      </w:pPr>
      <w:r>
        <w:rPr>
          <w:rFonts w:ascii="仿宋" w:hAnsi="仿宋" w:eastAsia="仿宋" w:cs="仿宋"/>
          <w:sz w:val="32"/>
          <w:szCs w:val="32"/>
        </w:rPr>
        <w:t>2022年度一般公共预算财政拨款</w:t>
      </w:r>
      <w:r>
        <w:rPr>
          <w:rFonts w:hint="default" w:ascii="Times New Roman" w:hAnsi="Times New Roman"/>
          <w:sz w:val="32"/>
          <w:szCs w:val="32"/>
        </w:rPr>
        <w:t>“</w:t>
      </w:r>
      <w:r>
        <w:rPr>
          <w:rFonts w:ascii="仿宋" w:hAnsi="仿宋" w:eastAsia="仿宋" w:cs="仿宋"/>
          <w:sz w:val="32"/>
          <w:szCs w:val="32"/>
        </w:rPr>
        <w:t>三公</w:t>
      </w:r>
      <w:r>
        <w:rPr>
          <w:rFonts w:hint="default" w:ascii="Times New Roman" w:hAnsi="Times New Roman"/>
          <w:sz w:val="32"/>
          <w:szCs w:val="32"/>
        </w:rPr>
        <w:t>”</w:t>
      </w:r>
      <w:r>
        <w:rPr>
          <w:rFonts w:ascii="仿宋" w:hAnsi="仿宋" w:eastAsia="仿宋" w:cs="仿宋"/>
          <w:sz w:val="32"/>
          <w:szCs w:val="32"/>
        </w:rPr>
        <w:t>经费支出决算数比上年减少0元，下降0%。其中：因公出国（境）费支出决算减少0元，下降0%；公务用车购置费支出决算减少0元，下降0%；公务用车运行维护费支出决算减少0元，下降0%；公务接待费支出决算减少0元，下降0%。主要原因我单位无财政拨款“三公”经费。</w:t>
      </w:r>
    </w:p>
    <w:p>
      <w:pPr>
        <w:autoSpaceDE w:val="0"/>
        <w:autoSpaceDN w:val="0"/>
        <w:spacing w:line="590" w:lineRule="atLeast"/>
        <w:ind w:firstLine="601"/>
        <w:jc w:val="both"/>
        <w:rPr>
          <w:rFonts w:hint="default" w:cs="宋体"/>
          <w:sz w:val="32"/>
          <w:szCs w:val="32"/>
        </w:rPr>
      </w:pPr>
      <w:r>
        <w:rPr>
          <w:rFonts w:ascii="楷体" w:hAnsi="楷体" w:eastAsia="楷体" w:cs="楷体"/>
          <w:sz w:val="32"/>
          <w:szCs w:val="32"/>
        </w:rPr>
        <w:t xml:space="preserve"> (二) 一般公共预算财政拨款</w:t>
      </w:r>
      <w:r>
        <w:rPr>
          <w:rFonts w:hint="default" w:ascii="Times New Roman" w:hAnsi="Times New Roman"/>
          <w:sz w:val="32"/>
          <w:szCs w:val="32"/>
        </w:rPr>
        <w:t>“</w:t>
      </w:r>
      <w:r>
        <w:rPr>
          <w:rFonts w:ascii="楷体" w:hAnsi="楷体" w:eastAsia="楷体" w:cs="楷体"/>
          <w:sz w:val="32"/>
          <w:szCs w:val="32"/>
        </w:rPr>
        <w:t>三公</w:t>
      </w:r>
      <w:r>
        <w:rPr>
          <w:rFonts w:hint="default" w:ascii="Times New Roman" w:hAnsi="Times New Roman"/>
          <w:sz w:val="32"/>
          <w:szCs w:val="32"/>
        </w:rPr>
        <w:t>”</w:t>
      </w:r>
      <w:r>
        <w:rPr>
          <w:rFonts w:ascii="楷体" w:hAnsi="楷体" w:eastAsia="楷体" w:cs="楷体"/>
          <w:sz w:val="32"/>
          <w:szCs w:val="32"/>
        </w:rPr>
        <w:t>经费支出实物量的具体情况</w:t>
      </w:r>
    </w:p>
    <w:p>
      <w:pPr>
        <w:autoSpaceDE w:val="0"/>
        <w:autoSpaceDN w:val="0"/>
        <w:spacing w:line="590" w:lineRule="atLeast"/>
        <w:ind w:firstLine="602"/>
        <w:jc w:val="both"/>
        <w:rPr>
          <w:rFonts w:hint="default" w:ascii="仿宋" w:hAnsi="仿宋" w:eastAsia="仿宋" w:cs="仿宋"/>
          <w:sz w:val="32"/>
          <w:szCs w:val="32"/>
        </w:rPr>
      </w:pPr>
      <w:r>
        <w:rPr>
          <w:rFonts w:ascii="仿宋" w:hAnsi="仿宋" w:eastAsia="仿宋" w:cs="仿宋"/>
          <w:b/>
          <w:sz w:val="32"/>
          <w:szCs w:val="32"/>
        </w:rPr>
        <w:t>1.</w:t>
      </w:r>
      <w:r>
        <w:rPr>
          <w:rFonts w:ascii="仿宋" w:hAnsi="仿宋" w:eastAsia="仿宋" w:cs="仿宋"/>
          <w:sz w:val="32"/>
          <w:szCs w:val="32"/>
        </w:rPr>
        <w:t>安排因公出国（境）团组0个，累计0人次。</w:t>
      </w:r>
    </w:p>
    <w:p>
      <w:pPr>
        <w:autoSpaceDE w:val="0"/>
        <w:autoSpaceDN w:val="0"/>
        <w:spacing w:line="590" w:lineRule="atLeast"/>
        <w:ind w:firstLine="602"/>
        <w:jc w:val="both"/>
        <w:rPr>
          <w:rFonts w:hint="default" w:ascii="仿宋" w:hAnsi="仿宋" w:eastAsia="仿宋" w:cs="仿宋"/>
          <w:color w:val="FF0000"/>
          <w:sz w:val="32"/>
          <w:szCs w:val="32"/>
          <w:lang w:val="en-US" w:eastAsia="zh-CN"/>
        </w:rPr>
      </w:pPr>
      <w:r>
        <w:rPr>
          <w:rFonts w:ascii="仿宋" w:hAnsi="仿宋" w:eastAsia="仿宋" w:cs="仿宋"/>
          <w:b/>
          <w:color w:val="FF0000"/>
          <w:sz w:val="32"/>
          <w:szCs w:val="32"/>
        </w:rPr>
        <w:t>2.</w:t>
      </w:r>
      <w:r>
        <w:rPr>
          <w:rFonts w:ascii="仿宋" w:hAnsi="仿宋" w:eastAsia="仿宋" w:cs="仿宋"/>
          <w:color w:val="FF0000"/>
          <w:sz w:val="32"/>
          <w:szCs w:val="32"/>
        </w:rPr>
        <w:t>购置车辆0辆。</w:t>
      </w:r>
      <w:r>
        <w:rPr>
          <w:rFonts w:hint="eastAsia" w:ascii="仿宋" w:hAnsi="仿宋" w:eastAsia="仿宋" w:cs="仿宋"/>
          <w:color w:val="FF0000"/>
          <w:sz w:val="32"/>
          <w:szCs w:val="32"/>
          <w:lang w:val="en-US" w:eastAsia="zh-CN"/>
        </w:rPr>
        <w:t>开支一般公共预算财政拨款的公务用车保有量为0辆。</w:t>
      </w:r>
      <w:bookmarkStart w:id="0" w:name="_GoBack"/>
      <w:bookmarkEnd w:id="0"/>
    </w:p>
    <w:p>
      <w:pPr>
        <w:autoSpaceDE w:val="0"/>
        <w:autoSpaceDN w:val="0"/>
        <w:spacing w:line="590" w:lineRule="atLeast"/>
        <w:ind w:firstLine="602"/>
        <w:jc w:val="both"/>
        <w:rPr>
          <w:rFonts w:hint="default" w:ascii="仿宋" w:hAnsi="仿宋" w:eastAsia="仿宋" w:cs="仿宋"/>
          <w:sz w:val="32"/>
          <w:szCs w:val="32"/>
        </w:rPr>
      </w:pPr>
      <w:r>
        <w:rPr>
          <w:rFonts w:ascii="仿宋" w:hAnsi="仿宋" w:eastAsia="仿宋" w:cs="仿宋"/>
          <w:b/>
          <w:sz w:val="32"/>
          <w:szCs w:val="32"/>
        </w:rPr>
        <w:t>3.</w:t>
      </w:r>
      <w:r>
        <w:rPr>
          <w:rFonts w:ascii="仿宋" w:hAnsi="仿宋" w:eastAsia="仿宋" w:cs="仿宋"/>
          <w:sz w:val="32"/>
          <w:szCs w:val="32"/>
        </w:rPr>
        <w:t>安排国内公务接待0批次（其中：外事接待0批次），接待人次0人（其中：外事接待人次0人）。</w:t>
      </w:r>
    </w:p>
    <w:p>
      <w:pPr>
        <w:autoSpaceDE w:val="0"/>
        <w:autoSpaceDN w:val="0"/>
        <w:spacing w:line="360" w:lineRule="auto"/>
        <w:jc w:val="both"/>
        <w:rPr>
          <w:rFonts w:hint="default" w:cs="宋体"/>
          <w:sz w:val="32"/>
          <w:szCs w:val="32"/>
        </w:rPr>
      </w:pPr>
      <w:r>
        <w:rPr>
          <w:rFonts w:ascii="黑体" w:eastAsia="黑体" w:cs="黑体"/>
          <w:sz w:val="32"/>
          <w:szCs w:val="32"/>
        </w:rPr>
        <w:t>第四部分</w:t>
      </w:r>
      <w:r>
        <w:rPr>
          <w:rFonts w:hint="default" w:ascii="Calibri" w:hAnsi="Calibri" w:eastAsia="黑体" w:cs="Calibri"/>
          <w:sz w:val="32"/>
          <w:szCs w:val="32"/>
        </w:rPr>
        <w:t xml:space="preserve"> </w:t>
      </w:r>
      <w:r>
        <w:rPr>
          <w:rFonts w:ascii="黑体" w:eastAsia="黑体" w:cs="黑体"/>
          <w:sz w:val="32"/>
          <w:szCs w:val="32"/>
        </w:rPr>
        <w:t xml:space="preserve"> 其他重要事项及相关口径情况说明</w:t>
      </w:r>
    </w:p>
    <w:p>
      <w:pPr>
        <w:autoSpaceDE w:val="0"/>
        <w:autoSpaceDN w:val="0"/>
        <w:spacing w:line="590" w:lineRule="atLeast"/>
        <w:ind w:firstLine="600"/>
        <w:jc w:val="both"/>
        <w:rPr>
          <w:rFonts w:hint="default" w:cs="宋体"/>
          <w:sz w:val="32"/>
          <w:szCs w:val="32"/>
        </w:rPr>
      </w:pPr>
      <w:r>
        <w:rPr>
          <w:rFonts w:ascii="黑体" w:eastAsia="黑体" w:cs="黑体"/>
          <w:sz w:val="32"/>
          <w:szCs w:val="32"/>
        </w:rPr>
        <w:t>一、机关运行经费支出情况</w:t>
      </w:r>
    </w:p>
    <w:p>
      <w:pPr>
        <w:pStyle w:val="71"/>
        <w:spacing w:line="600" w:lineRule="atLeast"/>
        <w:ind w:firstLine="600"/>
        <w:jc w:val="both"/>
        <w:rPr>
          <w:rFonts w:hint="default" w:ascii="仿宋" w:hAnsi="仿宋" w:eastAsia="仿宋" w:cs="仿宋"/>
          <w:sz w:val="32"/>
          <w:szCs w:val="32"/>
          <w:shd w:val="clear" w:color="auto" w:fill="FFFFFF"/>
        </w:rPr>
      </w:pPr>
      <w:r>
        <w:rPr>
          <w:rFonts w:ascii="仿宋" w:hAnsi="仿宋" w:eastAsia="仿宋" w:cs="仿宋"/>
          <w:sz w:val="32"/>
          <w:szCs w:val="32"/>
        </w:rPr>
        <w:t>昆明日报社2022年机关运行经费支出0元，减少0元，下降0%,</w:t>
      </w:r>
      <w:r>
        <w:rPr>
          <w:rFonts w:ascii="仿宋" w:hAnsi="仿宋" w:eastAsia="仿宋" w:cs="仿宋"/>
          <w:sz w:val="32"/>
          <w:szCs w:val="32"/>
          <w:shd w:val="clear" w:color="auto" w:fill="FFFFFF"/>
        </w:rPr>
        <w:t>昆明日报社2022年机关运行经费支出0元，与上年持平，无变化。</w:t>
      </w:r>
    </w:p>
    <w:p>
      <w:pPr>
        <w:pStyle w:val="71"/>
        <w:spacing w:line="600" w:lineRule="atLeast"/>
        <w:ind w:firstLine="600"/>
        <w:jc w:val="both"/>
        <w:rPr>
          <w:rFonts w:hint="default" w:cs="宋体"/>
          <w:sz w:val="32"/>
          <w:szCs w:val="32"/>
        </w:rPr>
      </w:pPr>
      <w:r>
        <w:rPr>
          <w:rFonts w:ascii="仿宋" w:hAnsi="仿宋" w:eastAsia="仿宋" w:cs="仿宋"/>
          <w:sz w:val="32"/>
          <w:szCs w:val="32"/>
          <w:shd w:val="clear" w:color="auto" w:fill="FFFFFF"/>
        </w:rPr>
        <w:t>昆明日报社是公益二类事业单位，实行事业单位企业化管理，无财政拨款机关运行经费的开支。</w:t>
      </w:r>
    </w:p>
    <w:p>
      <w:pPr>
        <w:autoSpaceDE w:val="0"/>
        <w:autoSpaceDN w:val="0"/>
        <w:spacing w:line="590" w:lineRule="atLeast"/>
        <w:ind w:firstLine="600"/>
        <w:jc w:val="both"/>
        <w:rPr>
          <w:rFonts w:hint="default" w:cs="宋体"/>
          <w:sz w:val="32"/>
          <w:szCs w:val="32"/>
        </w:rPr>
      </w:pPr>
      <w:r>
        <w:rPr>
          <w:rFonts w:ascii="黑体" w:eastAsia="黑体" w:cs="黑体"/>
          <w:sz w:val="32"/>
          <w:szCs w:val="32"/>
        </w:rPr>
        <w:t>二、国有资产占用情况</w:t>
      </w:r>
    </w:p>
    <w:p>
      <w:pPr>
        <w:autoSpaceDE w:val="0"/>
        <w:autoSpaceDN w:val="0"/>
        <w:spacing w:line="590" w:lineRule="atLeast"/>
        <w:ind w:firstLine="600"/>
        <w:jc w:val="both"/>
        <w:rPr>
          <w:rFonts w:hint="default" w:ascii="仿宋" w:hAnsi="仿宋" w:eastAsia="仿宋" w:cs="仿宋"/>
          <w:sz w:val="32"/>
          <w:szCs w:val="32"/>
        </w:rPr>
      </w:pPr>
      <w:r>
        <w:rPr>
          <w:rFonts w:ascii="仿宋" w:hAnsi="仿宋" w:eastAsia="仿宋" w:cs="仿宋"/>
          <w:sz w:val="32"/>
          <w:szCs w:val="32"/>
        </w:rPr>
        <w:t>截至2022年12月31日，昆明日报社资产总额247,613,102.76元，其中，流动资产162,997,313.39元，固定资产78,552,335.</w:t>
      </w:r>
      <w:r>
        <w:rPr>
          <w:rFonts w:hint="default" w:ascii="仿宋" w:hAnsi="仿宋" w:eastAsia="仿宋" w:cs="仿宋"/>
          <w:sz w:val="32"/>
          <w:szCs w:val="32"/>
        </w:rPr>
        <w:t>8</w:t>
      </w:r>
      <w:r>
        <w:rPr>
          <w:rFonts w:ascii="仿宋" w:hAnsi="仿宋" w:eastAsia="仿宋" w:cs="仿宋"/>
          <w:sz w:val="32"/>
          <w:szCs w:val="32"/>
        </w:rPr>
        <w:t>8元，对外投资及有价证券1,205,000元，在建工程0元，无形资产4,858,453.49元，其他资产0元（具体内容详见附表）。与上年相比，本年资产总额减少8,515,395.67元，(减少原因为流动资产较去年减少)，其中固定资产增加567,767.71元。处置房屋建筑物0平方米，账面原值0元；处置车辆0辆，账面原值0元；报废报损资产0项，账面原值0元，实现资产处置收入0元；出租房屋0平方米，账面原值0元，实现资产使用收入0元。（国有资产占有使用情况表详见附表）</w:t>
      </w:r>
    </w:p>
    <w:p>
      <w:pPr>
        <w:autoSpaceDE w:val="0"/>
        <w:autoSpaceDN w:val="0"/>
        <w:spacing w:line="590" w:lineRule="atLeast"/>
        <w:ind w:firstLine="600"/>
        <w:jc w:val="both"/>
        <w:rPr>
          <w:rFonts w:hint="default" w:ascii="仿宋" w:hAnsi="仿宋" w:eastAsia="仿宋" w:cs="仿宋"/>
          <w:sz w:val="32"/>
          <w:szCs w:val="32"/>
        </w:rPr>
      </w:pPr>
      <w:r>
        <w:rPr>
          <w:rFonts w:ascii="仿宋" w:hAnsi="仿宋" w:eastAsia="仿宋" w:cs="仿宋"/>
          <w:sz w:val="32"/>
          <w:szCs w:val="32"/>
        </w:rPr>
        <w:t xml:space="preserve"> </w:t>
      </w:r>
    </w:p>
    <w:tbl>
      <w:tblPr>
        <w:tblStyle w:val="16"/>
        <w:tblW w:w="4628" w:type="pct"/>
        <w:jc w:val="center"/>
        <w:tblLayout w:type="autofit"/>
        <w:tblCellMar>
          <w:top w:w="0" w:type="dxa"/>
          <w:left w:w="0" w:type="dxa"/>
          <w:bottom w:w="0" w:type="dxa"/>
          <w:right w:w="0" w:type="dxa"/>
        </w:tblCellMar>
      </w:tblPr>
      <w:tblGrid>
        <w:gridCol w:w="441"/>
        <w:gridCol w:w="443"/>
        <w:gridCol w:w="6897"/>
        <w:gridCol w:w="16"/>
      </w:tblGrid>
      <w:tr>
        <w:tblPrEx>
          <w:tblCellMar>
            <w:top w:w="0" w:type="dxa"/>
            <w:left w:w="0" w:type="dxa"/>
            <w:bottom w:w="0" w:type="dxa"/>
            <w:right w:w="0" w:type="dxa"/>
          </w:tblCellMar>
        </w:tblPrEx>
        <w:trPr>
          <w:trHeight w:val="370" w:hRule="atLeast"/>
          <w:jc w:val="center"/>
        </w:trPr>
        <w:tc>
          <w:tcPr>
            <w:tcW w:w="4990" w:type="pct"/>
            <w:gridSpan w:val="3"/>
            <w:tcBorders>
              <w:top w:val="nil"/>
              <w:left w:val="nil"/>
              <w:bottom w:val="nil"/>
              <w:right w:val="nil"/>
            </w:tcBorders>
            <w:shd w:val="clear" w:color="auto" w:fill="FFFFFF"/>
            <w:tcMar>
              <w:top w:w="5" w:type="dxa"/>
              <w:left w:w="113" w:type="dxa"/>
              <w:bottom w:w="5" w:type="dxa"/>
              <w:right w:w="113" w:type="dxa"/>
            </w:tcMar>
            <w:vAlign w:val="center"/>
          </w:tcPr>
          <w:p>
            <w:pPr>
              <w:pStyle w:val="71"/>
              <w:jc w:val="both"/>
              <w:rPr>
                <w:rFonts w:hint="default"/>
              </w:rPr>
            </w:pPr>
          </w:p>
        </w:tc>
        <w:tc>
          <w:tcPr>
            <w:tcW w:w="10" w:type="pct"/>
            <w:tcBorders>
              <w:top w:val="nil"/>
              <w:left w:val="nil"/>
              <w:bottom w:val="nil"/>
              <w:right w:val="nil"/>
            </w:tcBorders>
            <w:shd w:val="clear" w:color="auto" w:fill="auto"/>
            <w:tcMar>
              <w:top w:w="5" w:type="dxa"/>
              <w:left w:w="5" w:type="dxa"/>
              <w:bottom w:w="5" w:type="dxa"/>
              <w:right w:w="5" w:type="dxa"/>
            </w:tcMar>
            <w:vAlign w:val="center"/>
          </w:tcPr>
          <w:p>
            <w:pPr>
              <w:jc w:val="both"/>
              <w:rPr>
                <w:rFonts w:hint="default"/>
              </w:rPr>
            </w:pPr>
          </w:p>
        </w:tc>
      </w:tr>
      <w:tr>
        <w:tblPrEx>
          <w:tblCellMar>
            <w:top w:w="0" w:type="dxa"/>
            <w:left w:w="0" w:type="dxa"/>
            <w:bottom w:w="0" w:type="dxa"/>
            <w:right w:w="0" w:type="dxa"/>
          </w:tblCellMar>
        </w:tblPrEx>
        <w:trPr>
          <w:trHeight w:val="285" w:hRule="atLeast"/>
          <w:jc w:val="center"/>
        </w:trPr>
        <w:tc>
          <w:tcPr>
            <w:tcW w:w="567" w:type="pct"/>
            <w:gridSpan w:val="2"/>
            <w:tcBorders>
              <w:top w:val="nil"/>
              <w:left w:val="nil"/>
              <w:bottom w:val="nil"/>
              <w:right w:val="nil"/>
            </w:tcBorders>
            <w:shd w:val="clear" w:color="auto" w:fill="auto"/>
            <w:tcMar>
              <w:top w:w="5" w:type="dxa"/>
              <w:left w:w="113" w:type="dxa"/>
              <w:bottom w:w="5" w:type="dxa"/>
              <w:right w:w="113" w:type="dxa"/>
            </w:tcMar>
            <w:vAlign w:val="bottom"/>
          </w:tcPr>
          <w:p>
            <w:pPr>
              <w:pStyle w:val="71"/>
              <w:jc w:val="both"/>
              <w:rPr>
                <w:rFonts w:hint="default"/>
              </w:rPr>
            </w:pPr>
          </w:p>
        </w:tc>
        <w:tc>
          <w:tcPr>
            <w:tcW w:w="4423" w:type="pct"/>
            <w:tcBorders>
              <w:top w:val="nil"/>
              <w:left w:val="nil"/>
              <w:bottom w:val="nil"/>
              <w:right w:val="nil"/>
            </w:tcBorders>
            <w:shd w:val="clear" w:color="auto" w:fill="auto"/>
            <w:tcMar>
              <w:top w:w="5" w:type="dxa"/>
              <w:left w:w="113" w:type="dxa"/>
              <w:bottom w:w="5" w:type="dxa"/>
              <w:right w:w="113" w:type="dxa"/>
            </w:tcMar>
            <w:vAlign w:val="center"/>
          </w:tcPr>
          <w:p>
            <w:pPr>
              <w:pStyle w:val="71"/>
              <w:jc w:val="both"/>
              <w:rPr>
                <w:rFonts w:hint="default"/>
              </w:rPr>
            </w:pPr>
          </w:p>
        </w:tc>
        <w:tc>
          <w:tcPr>
            <w:tcW w:w="10" w:type="pct"/>
            <w:tcBorders>
              <w:top w:val="nil"/>
              <w:left w:val="nil"/>
              <w:bottom w:val="nil"/>
              <w:right w:val="nil"/>
            </w:tcBorders>
            <w:shd w:val="clear" w:color="auto" w:fill="auto"/>
            <w:tcMar>
              <w:top w:w="5" w:type="dxa"/>
              <w:left w:w="5" w:type="dxa"/>
              <w:bottom w:w="5" w:type="dxa"/>
              <w:right w:w="5" w:type="dxa"/>
            </w:tcMar>
            <w:vAlign w:val="center"/>
          </w:tcPr>
          <w:p>
            <w:pPr>
              <w:jc w:val="both"/>
              <w:rPr>
                <w:rFonts w:hint="default"/>
              </w:rPr>
            </w:pPr>
          </w:p>
        </w:tc>
      </w:tr>
      <w:tr>
        <w:tblPrEx>
          <w:tblCellMar>
            <w:top w:w="0" w:type="dxa"/>
            <w:left w:w="0" w:type="dxa"/>
            <w:bottom w:w="0" w:type="dxa"/>
            <w:right w:w="0" w:type="dxa"/>
          </w:tblCellMar>
        </w:tblPrEx>
        <w:trPr>
          <w:trHeight w:val="270" w:hRule="atLeast"/>
          <w:jc w:val="center"/>
        </w:trPr>
        <w:tc>
          <w:tcPr>
            <w:tcW w:w="283" w:type="pct"/>
            <w:tcBorders>
              <w:top w:val="nil"/>
              <w:left w:val="nil"/>
              <w:bottom w:val="nil"/>
              <w:right w:val="nil"/>
            </w:tcBorders>
            <w:shd w:val="clear" w:color="auto" w:fill="auto"/>
            <w:tcMar>
              <w:top w:w="5" w:type="dxa"/>
              <w:left w:w="113" w:type="dxa"/>
              <w:bottom w:w="5" w:type="dxa"/>
              <w:right w:w="113" w:type="dxa"/>
            </w:tcMar>
            <w:vAlign w:val="center"/>
          </w:tcPr>
          <w:p>
            <w:pPr>
              <w:pStyle w:val="71"/>
              <w:jc w:val="both"/>
              <w:rPr>
                <w:rFonts w:hint="default"/>
              </w:rPr>
            </w:pPr>
          </w:p>
        </w:tc>
        <w:tc>
          <w:tcPr>
            <w:tcW w:w="284" w:type="pct"/>
            <w:tcBorders>
              <w:top w:val="nil"/>
              <w:left w:val="nil"/>
              <w:bottom w:val="nil"/>
              <w:right w:val="nil"/>
            </w:tcBorders>
            <w:shd w:val="clear" w:color="auto" w:fill="auto"/>
            <w:tcMar>
              <w:top w:w="5" w:type="dxa"/>
              <w:left w:w="113" w:type="dxa"/>
              <w:bottom w:w="5" w:type="dxa"/>
              <w:right w:w="113" w:type="dxa"/>
            </w:tcMar>
            <w:vAlign w:val="center"/>
          </w:tcPr>
          <w:p>
            <w:pPr>
              <w:pStyle w:val="71"/>
              <w:jc w:val="both"/>
              <w:rPr>
                <w:rFonts w:hint="default"/>
              </w:rPr>
            </w:pPr>
          </w:p>
        </w:tc>
        <w:tc>
          <w:tcPr>
            <w:tcW w:w="4423" w:type="pct"/>
            <w:tcBorders>
              <w:top w:val="nil"/>
              <w:left w:val="nil"/>
              <w:bottom w:val="nil"/>
              <w:right w:val="nil"/>
            </w:tcBorders>
            <w:shd w:val="clear" w:color="auto" w:fill="auto"/>
            <w:tcMar>
              <w:top w:w="5" w:type="dxa"/>
              <w:left w:w="113" w:type="dxa"/>
              <w:bottom w:w="5" w:type="dxa"/>
              <w:right w:w="113" w:type="dxa"/>
            </w:tcMar>
            <w:vAlign w:val="center"/>
          </w:tcPr>
          <w:p>
            <w:pPr>
              <w:pStyle w:val="71"/>
              <w:jc w:val="both"/>
              <w:rPr>
                <w:rFonts w:hint="default"/>
              </w:rPr>
            </w:pPr>
          </w:p>
        </w:tc>
        <w:tc>
          <w:tcPr>
            <w:tcW w:w="10" w:type="pct"/>
            <w:tcBorders>
              <w:top w:val="nil"/>
              <w:left w:val="nil"/>
              <w:bottom w:val="nil"/>
              <w:right w:val="nil"/>
            </w:tcBorders>
            <w:shd w:val="clear" w:color="auto" w:fill="auto"/>
            <w:tcMar>
              <w:top w:w="5" w:type="dxa"/>
              <w:left w:w="5" w:type="dxa"/>
              <w:bottom w:w="5" w:type="dxa"/>
              <w:right w:w="5" w:type="dxa"/>
            </w:tcMar>
            <w:vAlign w:val="center"/>
          </w:tcPr>
          <w:p>
            <w:pPr>
              <w:jc w:val="both"/>
              <w:rPr>
                <w:rFonts w:hint="default"/>
              </w:rPr>
            </w:pPr>
          </w:p>
        </w:tc>
      </w:tr>
      <w:tr>
        <w:tblPrEx>
          <w:tblCellMar>
            <w:top w:w="0" w:type="dxa"/>
            <w:left w:w="0" w:type="dxa"/>
            <w:bottom w:w="0" w:type="dxa"/>
            <w:right w:w="0" w:type="dxa"/>
          </w:tblCellMar>
        </w:tblPrEx>
        <w:trPr>
          <w:trHeight w:val="270" w:hRule="atLeast"/>
          <w:jc w:val="center"/>
        </w:trPr>
        <w:tc>
          <w:tcPr>
            <w:tcW w:w="283" w:type="pct"/>
            <w:tcBorders>
              <w:top w:val="nil"/>
              <w:left w:val="nil"/>
              <w:bottom w:val="nil"/>
              <w:right w:val="nil"/>
            </w:tcBorders>
            <w:shd w:val="clear" w:color="auto" w:fill="auto"/>
            <w:tcMar>
              <w:top w:w="5" w:type="dxa"/>
              <w:left w:w="113" w:type="dxa"/>
              <w:bottom w:w="5" w:type="dxa"/>
              <w:right w:w="113" w:type="dxa"/>
            </w:tcMar>
            <w:vAlign w:val="center"/>
          </w:tcPr>
          <w:p>
            <w:pPr>
              <w:pStyle w:val="71"/>
              <w:jc w:val="both"/>
              <w:rPr>
                <w:rFonts w:hint="default"/>
              </w:rPr>
            </w:pPr>
          </w:p>
        </w:tc>
        <w:tc>
          <w:tcPr>
            <w:tcW w:w="284" w:type="pct"/>
            <w:tcBorders>
              <w:top w:val="nil"/>
              <w:left w:val="nil"/>
              <w:bottom w:val="nil"/>
              <w:right w:val="nil"/>
            </w:tcBorders>
            <w:shd w:val="clear" w:color="auto" w:fill="auto"/>
            <w:tcMar>
              <w:top w:w="5" w:type="dxa"/>
              <w:left w:w="113" w:type="dxa"/>
              <w:bottom w:w="5" w:type="dxa"/>
              <w:right w:w="113" w:type="dxa"/>
            </w:tcMar>
            <w:vAlign w:val="center"/>
          </w:tcPr>
          <w:p>
            <w:pPr>
              <w:pStyle w:val="71"/>
              <w:jc w:val="both"/>
              <w:rPr>
                <w:rFonts w:hint="default"/>
              </w:rPr>
            </w:pPr>
          </w:p>
        </w:tc>
        <w:tc>
          <w:tcPr>
            <w:tcW w:w="4423" w:type="pct"/>
            <w:tcBorders>
              <w:top w:val="nil"/>
              <w:left w:val="nil"/>
              <w:bottom w:val="nil"/>
              <w:right w:val="nil"/>
            </w:tcBorders>
            <w:shd w:val="clear" w:color="auto" w:fill="auto"/>
            <w:tcMar>
              <w:top w:w="5" w:type="dxa"/>
              <w:left w:w="113" w:type="dxa"/>
              <w:bottom w:w="5" w:type="dxa"/>
              <w:right w:w="113" w:type="dxa"/>
            </w:tcMar>
            <w:vAlign w:val="center"/>
          </w:tcPr>
          <w:p>
            <w:pPr>
              <w:pStyle w:val="71"/>
              <w:jc w:val="both"/>
              <w:rPr>
                <w:rFonts w:hint="default"/>
              </w:rPr>
            </w:pPr>
          </w:p>
        </w:tc>
        <w:tc>
          <w:tcPr>
            <w:tcW w:w="10" w:type="pct"/>
            <w:tcBorders>
              <w:top w:val="nil"/>
              <w:left w:val="nil"/>
              <w:bottom w:val="nil"/>
              <w:right w:val="nil"/>
            </w:tcBorders>
            <w:shd w:val="clear" w:color="auto" w:fill="auto"/>
            <w:tcMar>
              <w:top w:w="5" w:type="dxa"/>
              <w:left w:w="5" w:type="dxa"/>
              <w:bottom w:w="5" w:type="dxa"/>
              <w:right w:w="5" w:type="dxa"/>
            </w:tcMar>
            <w:vAlign w:val="center"/>
          </w:tcPr>
          <w:p>
            <w:pPr>
              <w:jc w:val="both"/>
              <w:rPr>
                <w:rFonts w:hint="default"/>
              </w:rPr>
            </w:pPr>
          </w:p>
        </w:tc>
      </w:tr>
    </w:tbl>
    <w:p>
      <w:pPr>
        <w:autoSpaceDE w:val="0"/>
        <w:autoSpaceDN w:val="0"/>
        <w:spacing w:line="590" w:lineRule="atLeast"/>
        <w:ind w:firstLine="640" w:firstLineChars="200"/>
        <w:jc w:val="both"/>
        <w:rPr>
          <w:rFonts w:hint="default" w:cs="宋体"/>
          <w:sz w:val="32"/>
          <w:szCs w:val="32"/>
        </w:rPr>
      </w:pPr>
      <w:r>
        <w:rPr>
          <w:rFonts w:ascii="黑体" w:eastAsia="黑体" w:cs="黑体"/>
          <w:sz w:val="32"/>
          <w:szCs w:val="32"/>
        </w:rPr>
        <w:t>三、政府采购支出情况</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2022年度，部门政府采购支出总额3,999,996.00元，其中：政府采购货物支出3,999,996.00元；政府采购工程支出0元；政府采购服务支出0元。授予中小企业合同金额3,999,996.00元，占政府采购支出总额的100%。</w:t>
      </w:r>
    </w:p>
    <w:p>
      <w:pPr>
        <w:autoSpaceDE w:val="0"/>
        <w:autoSpaceDN w:val="0"/>
        <w:spacing w:line="590" w:lineRule="atLeast"/>
        <w:ind w:firstLine="600"/>
        <w:jc w:val="both"/>
        <w:rPr>
          <w:rFonts w:hint="default" w:cs="宋体"/>
          <w:sz w:val="32"/>
          <w:szCs w:val="32"/>
        </w:rPr>
      </w:pPr>
      <w:r>
        <w:rPr>
          <w:rFonts w:ascii="黑体" w:eastAsia="黑体" w:cs="黑体"/>
          <w:sz w:val="32"/>
          <w:szCs w:val="32"/>
        </w:rPr>
        <w:t>四、部门绩效自评情况</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部门绩效自评情况详见附表。</w:t>
      </w:r>
    </w:p>
    <w:p>
      <w:pPr>
        <w:autoSpaceDE w:val="0"/>
        <w:autoSpaceDN w:val="0"/>
        <w:spacing w:line="590" w:lineRule="atLeast"/>
        <w:ind w:firstLine="600"/>
        <w:jc w:val="both"/>
        <w:rPr>
          <w:rFonts w:hint="default" w:cs="宋体"/>
          <w:sz w:val="32"/>
          <w:szCs w:val="32"/>
        </w:rPr>
      </w:pPr>
      <w:r>
        <w:rPr>
          <w:rFonts w:ascii="黑体" w:eastAsia="黑体" w:cs="黑体"/>
          <w:sz w:val="32"/>
          <w:szCs w:val="32"/>
        </w:rPr>
        <w:t>五、其他重要事项情况说明</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昆明日报社无重点项目，无其他重要事项说明，报社所有项目都按相关要求</w:t>
      </w:r>
      <w:r>
        <w:rPr>
          <w:rStyle w:val="21"/>
          <w:rFonts w:hint="eastAsia" w:ascii="仿宋" w:hAnsi="仿宋" w:eastAsia="仿宋" w:cs="仿宋"/>
          <w:sz w:val="32"/>
          <w:szCs w:val="32"/>
          <w:shd w:val="clear" w:color="auto" w:fill="FFFFFF"/>
        </w:rPr>
        <w:t>做项目</w:t>
      </w:r>
      <w:r>
        <w:rPr>
          <w:rFonts w:ascii="仿宋" w:hAnsi="仿宋" w:eastAsia="仿宋" w:cs="仿宋"/>
          <w:sz w:val="32"/>
          <w:szCs w:val="32"/>
          <w:shd w:val="clear" w:color="auto" w:fill="FFFFFF"/>
        </w:rPr>
        <w:t>绩效评价，绩效评价报告按要求公开。</w:t>
      </w:r>
    </w:p>
    <w:p>
      <w:pPr>
        <w:autoSpaceDE w:val="0"/>
        <w:autoSpaceDN w:val="0"/>
        <w:spacing w:line="590" w:lineRule="atLeast"/>
        <w:ind w:firstLine="600"/>
        <w:jc w:val="both"/>
        <w:rPr>
          <w:rFonts w:hint="default" w:cs="宋体"/>
          <w:sz w:val="32"/>
          <w:szCs w:val="32"/>
        </w:rPr>
      </w:pPr>
      <w:r>
        <w:rPr>
          <w:rFonts w:ascii="黑体" w:eastAsia="黑体" w:cs="黑体"/>
          <w:sz w:val="32"/>
          <w:szCs w:val="32"/>
        </w:rPr>
        <w:t>六、相关口径说明</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（一）基本支出中人员经费包括工资福利支出和对个人和家庭的补助，公用经费包括商品和服务支出、资本性支出等人员经费以外的支出。</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（二）机关运行经费指行政单位和参照公务员法管理的事业单位使用财政拨款安排的基本支出中的公用经费支出。</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（三）按照党中央、国务院有关文件及部门预算管理有关规定，</w:t>
      </w:r>
      <w:r>
        <w:rPr>
          <w:rFonts w:hint="default" w:ascii="Times New Roman" w:hAnsi="Times New Roman"/>
          <w:sz w:val="32"/>
          <w:szCs w:val="32"/>
        </w:rPr>
        <w:t>“</w:t>
      </w:r>
      <w:r>
        <w:rPr>
          <w:rFonts w:ascii="仿宋" w:hAnsi="仿宋" w:eastAsia="仿宋" w:cs="仿宋"/>
          <w:sz w:val="32"/>
          <w:szCs w:val="32"/>
        </w:rPr>
        <w:t>三公</w:t>
      </w:r>
      <w:r>
        <w:rPr>
          <w:rFonts w:hint="default" w:ascii="Times New Roman" w:hAnsi="Times New Roman"/>
          <w:sz w:val="32"/>
          <w:szCs w:val="32"/>
        </w:rPr>
        <w:t>”</w:t>
      </w:r>
      <w:r>
        <w:rPr>
          <w:rFonts w:ascii="仿宋" w:hAnsi="仿宋" w:eastAsia="仿宋" w:cs="仿宋"/>
          <w:sz w:val="32"/>
          <w:szCs w:val="32"/>
        </w:rPr>
        <w:t>经费包括因公出国（境）费、公务用车购置及运行维护费、公务接待费。其中：因公出国（境）费，指单位公务出国（境）的国际旅费、国外城市间交通费、住宿费、伙食费、培训费、公杂费等支出；公务用车购置费，指公务用车购置支出（含车辆购置税、牌照费）；公务用车运行维护费，指单位按规定保留的公务用车燃料费、维修费、过桥过路费、保险费、安全奖励费用等支出；公务用车指用于履行公务的机动车辆，包括省部级干部专车、一般公务用车和执法执勤用车；公务接待费，指单位按规定开支的各类公务接待（含外宾接待）费用。</w:t>
      </w:r>
    </w:p>
    <w:p>
      <w:pPr>
        <w:autoSpaceDE w:val="0"/>
        <w:autoSpaceDN w:val="0"/>
        <w:spacing w:line="590" w:lineRule="atLeast"/>
        <w:ind w:firstLine="600"/>
        <w:jc w:val="both"/>
        <w:rPr>
          <w:rFonts w:hint="default" w:cs="宋体"/>
          <w:sz w:val="32"/>
          <w:szCs w:val="32"/>
        </w:rPr>
      </w:pPr>
      <w:r>
        <w:rPr>
          <w:rFonts w:ascii="仿宋" w:hAnsi="仿宋" w:eastAsia="仿宋" w:cs="仿宋"/>
          <w:sz w:val="32"/>
          <w:szCs w:val="32"/>
        </w:rPr>
        <w:t>（四）</w:t>
      </w:r>
      <w:r>
        <w:rPr>
          <w:rFonts w:hint="default" w:ascii="Times New Roman" w:hAnsi="Times New Roman"/>
          <w:sz w:val="32"/>
          <w:szCs w:val="32"/>
        </w:rPr>
        <w:t>“</w:t>
      </w:r>
      <w:r>
        <w:rPr>
          <w:rFonts w:ascii="仿宋" w:hAnsi="仿宋" w:eastAsia="仿宋" w:cs="仿宋"/>
          <w:sz w:val="32"/>
          <w:szCs w:val="32"/>
        </w:rPr>
        <w:t>三公</w:t>
      </w:r>
      <w:r>
        <w:rPr>
          <w:rFonts w:hint="default" w:ascii="Times New Roman" w:hAnsi="Times New Roman"/>
          <w:sz w:val="32"/>
          <w:szCs w:val="32"/>
        </w:rPr>
        <w:t>”</w:t>
      </w:r>
      <w:r>
        <w:rPr>
          <w:rFonts w:ascii="仿宋" w:hAnsi="仿宋" w:eastAsia="仿宋" w:cs="仿宋"/>
          <w:sz w:val="32"/>
          <w:szCs w:val="32"/>
        </w:rPr>
        <w:t>经费决算数是指各部门（含下属单位）当年通过本级一般公共预算财政拨款和以前年度一般公共预算财政拨款结转结余资金安排的因公出国（境）费、公务用车购置及运行维护费和公务接待费支出数（包括基本支出和项目支出）。</w:t>
      </w:r>
    </w:p>
    <w:p>
      <w:pPr>
        <w:autoSpaceDE w:val="0"/>
        <w:autoSpaceDN w:val="0"/>
        <w:spacing w:line="590" w:lineRule="atLeast"/>
        <w:jc w:val="both"/>
        <w:rPr>
          <w:rFonts w:hint="default" w:cs="宋体"/>
          <w:sz w:val="32"/>
          <w:szCs w:val="32"/>
        </w:rPr>
      </w:pPr>
      <w:r>
        <w:rPr>
          <w:rFonts w:ascii="黑体" w:eastAsia="黑体" w:cs="黑体"/>
          <w:sz w:val="32"/>
          <w:szCs w:val="32"/>
        </w:rPr>
        <w:t>第五部分</w:t>
      </w:r>
      <w:r>
        <w:rPr>
          <w:rFonts w:hint="default" w:ascii="Calibri" w:hAnsi="Calibri" w:eastAsia="黑体" w:cs="Calibri"/>
          <w:sz w:val="32"/>
          <w:szCs w:val="32"/>
        </w:rPr>
        <w:t xml:space="preserve"> </w:t>
      </w:r>
      <w:r>
        <w:rPr>
          <w:rFonts w:ascii="黑体" w:eastAsia="黑体" w:cs="黑体"/>
          <w:sz w:val="32"/>
          <w:szCs w:val="32"/>
        </w:rPr>
        <w:t xml:space="preserve"> 名词解释</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1.财政拨款收入：是指单位从同级财政部门取得的财政预算资金。</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2.事业收入：是指事业单位开展专业活动及辅助活动所取得的收入。</w:t>
      </w:r>
    </w:p>
    <w:p>
      <w:pPr>
        <w:pStyle w:val="71"/>
        <w:shd w:val="clear" w:color="auto" w:fill="FFFFFF"/>
        <w:spacing w:line="590" w:lineRule="atLeast"/>
        <w:ind w:firstLine="600"/>
        <w:jc w:val="both"/>
        <w:rPr>
          <w:rFonts w:hint="default" w:cs="宋体"/>
          <w:sz w:val="32"/>
          <w:szCs w:val="32"/>
          <w:shd w:val="clear" w:color="auto" w:fill="FFFFFF"/>
        </w:rPr>
      </w:pPr>
      <w:r>
        <w:rPr>
          <w:rFonts w:ascii="仿宋" w:hAnsi="仿宋" w:eastAsia="仿宋" w:cs="仿宋"/>
          <w:sz w:val="32"/>
          <w:szCs w:val="32"/>
          <w:shd w:val="clear" w:color="auto" w:fill="FFFFFF"/>
        </w:rPr>
        <w:t>3.项目支出：是指单位为完成特定的行政工作任务或事业发展目标，在基本支出之外发生的各项支出。</w:t>
      </w:r>
    </w:p>
    <w:p>
      <w:pPr>
        <w:pStyle w:val="71"/>
        <w:shd w:val="clear" w:color="auto" w:fill="FFFFFF"/>
        <w:spacing w:line="590" w:lineRule="atLeast"/>
        <w:ind w:firstLine="6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4.“三公”经费：是指因公出国（境）费、公务用车购置及运行费和公务接待费。</w:t>
      </w:r>
    </w:p>
    <w:p>
      <w:pPr>
        <w:pStyle w:val="71"/>
        <w:shd w:val="clear" w:color="auto" w:fill="FFFFFF"/>
        <w:spacing w:line="590" w:lineRule="atLeast"/>
        <w:ind w:firstLine="600"/>
        <w:jc w:val="both"/>
        <w:rPr>
          <w:rFonts w:hint="default" w:ascii="仿宋" w:hAnsi="仿宋" w:eastAsia="仿宋" w:cs="仿宋"/>
          <w:b/>
          <w:sz w:val="32"/>
          <w:szCs w:val="32"/>
          <w:shd w:val="clear" w:color="auto" w:fill="FFFFFF"/>
        </w:rPr>
      </w:pPr>
      <w:r>
        <w:rPr>
          <w:rFonts w:ascii="仿宋" w:hAnsi="仿宋" w:eastAsia="仿宋" w:cs="仿宋"/>
          <w:sz w:val="32"/>
          <w:szCs w:val="32"/>
          <w:shd w:val="clear" w:color="auto" w:fill="FFFFFF"/>
        </w:rPr>
        <w:t>附件1：项目支出及具体工作开展情况</w:t>
      </w:r>
    </w:p>
    <w:p>
      <w:pPr>
        <w:spacing w:line="600" w:lineRule="exact"/>
        <w:jc w:val="both"/>
        <w:rPr>
          <w:rFonts w:ascii="楷体_GB2312" w:hAnsi="楷体_GB2312" w:cs="楷体_GB2312"/>
          <w:sz w:val="32"/>
          <w:szCs w:val="32"/>
        </w:rPr>
      </w:pPr>
      <w:r>
        <w:rPr>
          <w:rFonts w:ascii="楷体_GB2312" w:hAnsi="楷体_GB2312" w:cs="楷体_GB2312"/>
          <w:sz w:val="32"/>
          <w:szCs w:val="32"/>
        </w:rPr>
        <w:t xml:space="preserve"> </w:t>
      </w:r>
    </w:p>
    <w:p>
      <w:pPr>
        <w:rPr>
          <w:rFonts w:ascii="楷体_GB2312" w:hAnsi="楷体_GB2312" w:cs="楷体_GB2312"/>
          <w:sz w:val="32"/>
          <w:szCs w:val="32"/>
        </w:rPr>
      </w:pPr>
      <w:r>
        <w:rPr>
          <w:rFonts w:ascii="楷体_GB2312" w:hAnsi="楷体_GB2312" w:cs="楷体_GB2312"/>
          <w:sz w:val="32"/>
          <w:szCs w:val="32"/>
        </w:rPr>
        <w:br w:type="page"/>
      </w:r>
    </w:p>
    <w:p>
      <w:pPr>
        <w:spacing w:line="600" w:lineRule="exact"/>
        <w:jc w:val="both"/>
        <w:rPr>
          <w:rFonts w:ascii="楷体_GB2312" w:hAnsi="楷体_GB2312" w:cs="楷体_GB2312"/>
          <w:sz w:val="32"/>
          <w:szCs w:val="32"/>
        </w:rPr>
      </w:pPr>
      <w:r>
        <w:rPr>
          <w:rFonts w:cs="宋体"/>
          <w:sz w:val="32"/>
          <w:szCs w:val="32"/>
        </w:rPr>
        <w:t>项目一：</w:t>
      </w:r>
    </w:p>
    <w:p>
      <w:pPr>
        <w:spacing w:line="600" w:lineRule="exact"/>
        <w:jc w:val="both"/>
        <w:rPr>
          <w:rFonts w:hint="default" w:ascii="方正小标宋简体" w:hAnsi="方正小标宋简体" w:eastAsia="方正小标宋简体" w:cs="方正小标宋简体"/>
          <w:sz w:val="44"/>
          <w:szCs w:val="44"/>
        </w:rPr>
      </w:pPr>
      <w:r>
        <w:rPr>
          <w:rFonts w:cs="宋体"/>
          <w:sz w:val="44"/>
          <w:szCs w:val="44"/>
        </w:rPr>
        <w:t>报纸印刷用新闻纸项目支出绩效评价报告</w:t>
      </w:r>
    </w:p>
    <w:p>
      <w:pPr>
        <w:topLinePunct/>
        <w:spacing w:line="600" w:lineRule="exact"/>
        <w:ind w:firstLine="640" w:firstLineChars="200"/>
        <w:jc w:val="both"/>
        <w:rPr>
          <w:rFonts w:hint="default" w:eastAsia="黑体" w:cs="宋体"/>
          <w:sz w:val="32"/>
          <w:szCs w:val="32"/>
        </w:rPr>
      </w:pPr>
      <w:r>
        <w:rPr>
          <w:rFonts w:eastAsia="黑体" w:cs="宋体"/>
          <w:sz w:val="32"/>
          <w:szCs w:val="32"/>
        </w:rPr>
        <w:t xml:space="preserve"> </w:t>
      </w:r>
    </w:p>
    <w:p>
      <w:pPr>
        <w:topLinePunct/>
        <w:spacing w:line="600" w:lineRule="exact"/>
        <w:ind w:firstLine="640" w:firstLineChars="200"/>
        <w:jc w:val="both"/>
        <w:rPr>
          <w:rFonts w:hint="default" w:eastAsia="黑体" w:cs="宋体"/>
          <w:sz w:val="32"/>
          <w:szCs w:val="32"/>
        </w:rPr>
      </w:pPr>
      <w:r>
        <w:rPr>
          <w:rFonts w:ascii="黑体" w:eastAsia="黑体" w:cs="黑体"/>
          <w:sz w:val="32"/>
          <w:szCs w:val="32"/>
        </w:rPr>
        <w:t>一、项目基本情况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（一）项目概况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昆明日报》是昆明市委机关报，创刊于1958年元旦。因全国新闻出版用纸供应紧张，昆明日报于1961年2月1日停刊，1985年8月1日复刊。一直以来，报社始终坚持政治家办报和正确舆论导向，自觉担负起举旗帜、聚民心、育新人、兴文化、展形象的使命任务，遵循“凝聚向上力量”办报理念，充分发挥党委政府与群众“连心桥”、社情民意“晴雨表”、为民服务“一面旗”的作用，围绕中心、服务大局，为昆明高质量推进区域性国际中心城市建设营造了良好舆论氛围。</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2022年，《昆明日报》每期编辑出版发行7.5万份、日均版数12版、年出版365期，始终围绕市委、市政府中心工作、重点工作做好宣传报道和舆论引导工作。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3.资金来源及使用情况</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本项目资金来源为财政拨款，根据《昆明市财政局关于批复2022年部门预算的通知》，预算资金 400 万元，已于2022年 6 月份批复到位，已全部按照计划支出使用。</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报社严格按照招投标相关法律法规的规定，依法对新闻纸进行采购，并严格按照国家新闻出版相关规定及《昆明日报采编出版规范》《昆明日报编前会制度》《昆明日报值班领导值班守则》和《昆明日报关于“双岗带班制”和“报道评估机制”的规定》等文件相关规定，围绕市委、市政府中心工作，做好新闻宣传和舆论引导、报纸出版工作。</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1.总目标</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以习近平新时代中国特色社会主义思想为指导，深入贯彻落实习近平总书记系列重要讲话精神和考察云南重要讲话精神、中央经济工作会议精神，按照市委十二次党代会的安排部署，团结动员全体干部职工，聚焦新发展目标，融入新发展格局，践行新发展理念，为全市经济社会发展营造更加良好的舆论氛围。</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2022年，坚决按照党中央和省委、市委的决策部署以及市委宣传部的工作安排，自觉担负起举旗帜、聚民心、育新人、兴文化、展形象的使命任务，推进新闻舆论、媒体融合、经营转型、改革创新以及党的建设等各项工作高质量发展，为全市经济社会发展营造良好舆论氛围。</w:t>
      </w:r>
    </w:p>
    <w:p>
      <w:pPr>
        <w:topLinePunct/>
        <w:spacing w:line="600" w:lineRule="exact"/>
        <w:ind w:firstLine="640" w:firstLineChars="200"/>
        <w:jc w:val="both"/>
        <w:rPr>
          <w:rFonts w:hint="default" w:eastAsia="黑体" w:cs="宋体"/>
          <w:sz w:val="32"/>
          <w:szCs w:val="32"/>
        </w:rPr>
      </w:pPr>
      <w:r>
        <w:rPr>
          <w:rFonts w:ascii="黑体" w:eastAsia="黑体" w:cs="黑体"/>
          <w:sz w:val="32"/>
          <w:szCs w:val="32"/>
        </w:rPr>
        <w:t>二、绩效评价工作情况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1.绩效评价目的</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通过对项目立项情况、资金使用情况、项目实施管理情况、项目绩效表现情况进行自我评价，有助于了解资金使用是否达到预期目标、资金管理和使用是否规范、有效，进而检验资金支出效率和效果，便于及时总结经验、分析存在的问题和原因，改进管理措施，完善工作机制，有效提高资金管理水平和使用效益</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2.项目资金到位情况分析</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 xml:space="preserve">根据《昆明市财政局关于批复2022年部门预算的通知》，本项目资金于2022年6月，批复到位400万元，为确保财政预算资金有效合理使用，提高资金使用效率，该项目资金实行专款专用，并于当月按招投标程序采购666.66吨，单价6000元新闻纸，共计400万元。 </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3.项目资金使用情况分析</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项目支出均有相关的授权审批，资金拨付严格审批程序，使用规范，会计核算结果真实、准确，未发现有截留、挤占或挪用项目资金的情况。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4.项目组织情况</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为确保项目保质保量地完成，昆明日报社严格按照操作程序实施项目管理。一是自觉接受上级部门、社会监督，提高项目质量。二是加强技术指导，进行项目日常自检管理。</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5.项目管理情况</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严格按照《昆明日报采编出版规范》《昆明日报编前会制度》《昆明日报值班领导值班守则》和《昆明日报关于“双岗带班制”和“报道评估机制”的规定》等文件规定，要求新闻采编、印务、发行、行政等相关部门，严格执行国家、行业法律法规及内部管理规定，从日常采编的每一个工作细节规范操作、严格审核，全力保证新闻信息发布安全有序。</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1.前期调研、研究文件</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通过调研，对相关文件的解读，根据绩效评价的基本原理、原则和项目特点，结合绩效目标，由绩效评价小组按确定的评价指标体系、评分标准、评价方法和相关的工作程序和步骤，在规定的时间节点内开展绩效评价工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2.绩效评价指标体系及工作方案的设计</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本次绩效评价证据收集方法包括了：研究、分析项目预算部门提供的相关文件；整理、汇总项目预算单位提供的项目资料、工作总结和合同；根据预算部门提供的基础数据表逐项进行核实;根据项目服务对象填写的问卷调查结果汇总满意度情况。根据上述方法，从项目的立项合理性，目标的明确性，预算的准确性和管理制度的合规性等方面，对评价对象进行绩效评价。</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1.绩效评价的原则</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（1）科学规范。绩效评价注重财政支出的经济性、效率性和有效性，严格执行规定的程序，采用定量与定性分析相结合的方法。</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（2）公正公开。绩效评价客观、公正，标准统一、资料可靠，依法公开。</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（3）绩效相关。绩效评价针对具体支出及其产出绩效进行评价,结果清晰反映支出和产出绩效之间的紧密对应关系。</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2.评价方法</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本次主要采用因素分析法，采取数据对比，标准和抽样调查相结合，同时辅以问卷抽查、资料研究等方法。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（四）绩效评价实施过程</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项目组在前期调研的基础上，完成了项目绩效评价工作方案，设计了指标体系，评价标准，问卷调查方案等，明确了评价的目的、方法、评价的原则，项目组严格按照工作方案，通过调研、相关文件的解读、数据采集、问卷调查、数据分析、指标评分和报告撰写等环节,顺利完成了本次绩效评价工作。</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（1）在数据采集时，采取客观数据，负责部门审查，与问卷调查相结合的形式，以保证各项指标的真实性。</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（2）保证评价结果的真实性、公正性，提高评价报告的公信力。</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（3）绩效评价报告应当简明扼要，除了对绩效评价的过程，结果描述外，还应指出问题及可能存在的风险，并就共性问题提出可操作性改进建议。</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（五）绩效评价的局限性</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本着操作性强的原则，选择取数相对容易的指标构成指标体系，可能在一定程度上削弱指标对绩效目标的反映情况。</w:t>
      </w:r>
    </w:p>
    <w:p>
      <w:pPr>
        <w:topLinePunct/>
        <w:spacing w:line="600" w:lineRule="exact"/>
        <w:ind w:firstLine="640" w:firstLineChars="200"/>
        <w:jc w:val="both"/>
        <w:rPr>
          <w:rFonts w:hint="default" w:eastAsia="黑体" w:cs="宋体"/>
          <w:sz w:val="32"/>
          <w:szCs w:val="32"/>
        </w:rPr>
      </w:pPr>
      <w:r>
        <w:rPr>
          <w:rFonts w:ascii="黑体" w:eastAsia="黑体" w:cs="黑体"/>
          <w:sz w:val="32"/>
          <w:szCs w:val="32"/>
        </w:rPr>
        <w:t>三、评价结论和绩效分析</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本项目绩效目标根据部门绩效目标制定，真实有效地反映了部门的职能，并且绩效可考核。项目资金使用有效合理，有严格的财务及内控制度把关，没有超出预算范围使用的情况发生。项目绩效指标及时完成并且完成情况良好。</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2022年，报社以习近平新时代中国特色社会主义思想为指导，全面贯彻落实党的二十大精神，深入学习贯彻习近平总书记考察云南重要讲话精神，按照省委、市委的决策部署和市委宣传部的工作安排，自觉担负起举旗帜、聚民心、育新人、兴文化、展形象的使命任务，坚持守正创新，加快推进媒体深度融合发展，实施全媒体传播工程，做大做强新型主流媒体。</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（二）具体绩效分析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决策方面，项目与所属部门长期发展目标和工作性质相匹配，并在前期对项目可行性进行过调研，符合要求。项目绩效目标的制定紧扣副刊定位和操作实际，能完整反映项目预期产出和效果，绩效指标清晰、可衡量。自评分19.5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项目管理方面，预算编制围绕实际情况，在需要调整预算时严格按照相关规定执行，资金使用合理、规范、节约，资金拨付程序完整，没有出现截留、挤占或挪用项目资金的情况。自评分20分。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项目绩效方面，圆满完成各项目标，社会效益和宣传效益达到预期目标。自评分59分。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项目总评分98.5分。</w:t>
      </w:r>
    </w:p>
    <w:p>
      <w:pPr>
        <w:spacing w:line="600" w:lineRule="exact"/>
        <w:ind w:firstLine="640" w:firstLineChars="200"/>
        <w:jc w:val="both"/>
        <w:rPr>
          <w:rFonts w:hint="default" w:eastAsia="黑体" w:cs="宋体"/>
          <w:sz w:val="32"/>
          <w:szCs w:val="32"/>
        </w:rPr>
      </w:pPr>
      <w:r>
        <w:rPr>
          <w:rFonts w:ascii="黑体" w:eastAsia="黑体" w:cs="黑体"/>
          <w:sz w:val="32"/>
          <w:szCs w:val="32"/>
        </w:rPr>
        <w:t>四、成本效益分析</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1.项目的经济性分析</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在项目成本（预算）控制方面，主要从新闻纸的购进及印刷费、油墨、润版液等方面来控制，对项目相关的费用逐一列项，严格审查，在保证项目正常实施的情况下，节约各项开支。</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2.项目的效率性分析</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2022 年荣获省级新闻奖 77 件，创历史新高。</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3.项目有效性分析</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在省委宣传部（省新闻出版局）组织的2022年全省报纸（17家党报）质量抽查中，《昆明日报》报纸质量排名第一位。</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4.项目的可持续性分析</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当前和今后一段时间，昆明日报社及下属各媒体，将肩负起举旗帜、聚民心、育新人、兴文化、展形象的使命任务，紧紧围绕市委、市政府中心工作，弘扬主旋律、传播正能量，着力做好新闻宣传报道和舆论引导工作，为昆明高质量推进区域性国际中心城市建设营造良好舆论氛围。</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五、主要经验及做法</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1.必须把坚持党的全面领导作为首要遵循，坚决贯彻落实党中央、省委、市委以及市委宣传部的决策部署，充分发挥党委总揽全局、协调各方的领导作用，牢牢把握工作的正确方向。</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 xml:space="preserve">2.必须把解放思想作为行动先导，以开阔的视野、前瞻的思维、先进的发展理念引领实践、推动工作，积极应对全媒体时代的新挑战，抢抓媒体融合新机遇，闯出一条跨越式发展的路子来。 </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3.必须把加快发展作为第一要务，坚持稳中求进工作总基调，固本强基，加快转变发展方式，持续优化经营结构，推动全媒体经营更有效率、更有质量、更加公平、更可持续地发展。</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4.必须把提高员工福祉作为最大责任，坚持以人为本不偏离、为员工服务不懈怠，切实解决好广大干部员工最关心最直接最现实的利益问题，不断提升广大干部员工的获得感和幸福感。</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5.必须把全面从严治党作为根本保障，坚持党要管党、全面从严治党，以党的建设和党风廉政建设新成效，加快打造一支政治过硬、本领高强、求实创新、能打胜仗的新闻舆论“铁军”。</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六、存在的问题和改进措施</w:t>
      </w:r>
    </w:p>
    <w:p>
      <w:pPr>
        <w:spacing w:line="600" w:lineRule="exact"/>
        <w:ind w:firstLine="640"/>
        <w:jc w:val="both"/>
        <w:rPr>
          <w:rFonts w:hint="default" w:ascii="楷体" w:hAnsi="楷体" w:eastAsia="楷体" w:cs="楷体"/>
          <w:sz w:val="32"/>
          <w:szCs w:val="32"/>
        </w:rPr>
      </w:pPr>
      <w:r>
        <w:rPr>
          <w:rFonts w:ascii="楷体" w:hAnsi="楷体" w:eastAsia="楷体" w:cs="楷体"/>
          <w:sz w:val="32"/>
          <w:szCs w:val="32"/>
        </w:rPr>
        <w:t>（一）存在的问题</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1.虽然在西部地区省会城市党报中，媒体深度融合发展整体走在前列，但与广州、成都、杭州、南京等发达地区媒体“标兵”相比还有较大差距，急需走出云南、面向全国、辐射南亚东南亚。</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2.经济实力在西部城市党报中位居前列，但经济总量还不够大，存在媒体转型发展不平衡，有的单位、部门经营效益不好、经济实力不强、经营业态不优等问题。</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（二）建议和改进措施</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一是要坚定不移抓好重大主题宣传和成就报道，推动习近平新时代中国特色社会主义思想深入人心。</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二是要坚定不移推进媒体深度融合发展，不断提升传播力、引导力、影响力和公信力。</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三是要坚定不移走转型发展、高质量发展之路，进一步夯实集团整体实力。</w:t>
      </w:r>
    </w:p>
    <w:p>
      <w:pPr>
        <w:spacing w:line="600" w:lineRule="exact"/>
        <w:ind w:firstLine="640"/>
        <w:jc w:val="both"/>
        <w:rPr>
          <w:rFonts w:hint="default" w:ascii="仿宋" w:hAnsi="仿宋" w:eastAsia="仿宋" w:cs="仿宋"/>
          <w:sz w:val="32"/>
          <w:szCs w:val="32"/>
        </w:rPr>
      </w:pPr>
      <w:r>
        <w:rPr>
          <w:rFonts w:ascii="仿宋" w:hAnsi="仿宋" w:eastAsia="仿宋" w:cs="仿宋"/>
          <w:sz w:val="32"/>
          <w:szCs w:val="32"/>
        </w:rPr>
        <w:t>四是要坚定不移改革创新增活力，为集团发展提供坚强制度保障、人才保障。</w:t>
      </w:r>
    </w:p>
    <w:p>
      <w:pPr>
        <w:spacing w:line="600" w:lineRule="exact"/>
        <w:jc w:val="both"/>
        <w:rPr>
          <w:rFonts w:hint="default" w:eastAsia="黑体" w:cs="宋体"/>
          <w:sz w:val="32"/>
          <w:szCs w:val="32"/>
        </w:rPr>
      </w:pPr>
      <w:r>
        <w:rPr>
          <w:rFonts w:eastAsia="黑体" w:cs="宋体"/>
          <w:sz w:val="32"/>
          <w:szCs w:val="32"/>
        </w:rPr>
        <w:br w:type="page"/>
      </w:r>
      <w:r>
        <w:rPr>
          <w:rFonts w:cs="宋体"/>
          <w:sz w:val="32"/>
          <w:szCs w:val="32"/>
        </w:rPr>
        <w:t>项目二：</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《看昆明》外宣杂志编辑出版补助项目</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支出绩效自评报告</w:t>
      </w:r>
    </w:p>
    <w:p>
      <w:pPr>
        <w:spacing w:line="600" w:lineRule="exact"/>
        <w:ind w:firstLine="480" w:firstLineChars="200"/>
        <w:jc w:val="both"/>
        <w:rPr>
          <w:rFonts w:hint="default" w:ascii="黑体" w:eastAsia="黑体" w:cs="黑体"/>
        </w:rPr>
      </w:pPr>
      <w:r>
        <w:rPr>
          <w:rFonts w:ascii="黑体" w:eastAsia="黑体" w:cs="黑体"/>
        </w:rPr>
        <w:t xml:space="preserve"> </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一、项目基本情况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（一）项目概况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认真贯彻落实全国、全省、全市宣传思想工作会议精神，创新新形势下外宣工作，着力壮大主流思想舆论，着力讲好昆明故事、传播春城声音、塑造城市形象，不断提高昆明的美誉度和吸引力，为加快把昆明建设成为立足西南、面向全国、辐射南亚东南亚的区域性国际中心城市营造良好国际舆论氛围。</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实施以来，每期杂志文图并茂讲好中国故事、云南故事、昆明故事，刊载反映“一带一路”倡议、“人类命运共同体”、生物多样性成就等重大主题的内容，刊载外国人笔下的昆明（文字作品）/外国人眼中的昆明（摄影作品）等特约稿件，杂志发行覆盖各高校留学生学院、涉外宾馆饭店、驻昆总领事馆等，同时开通“看昆明”微信公众号，进行线上宣传。</w:t>
      </w:r>
    </w:p>
    <w:p>
      <w:pPr>
        <w:topLinePunct/>
        <w:spacing w:line="600" w:lineRule="exact"/>
        <w:ind w:firstLine="420"/>
        <w:jc w:val="both"/>
        <w:rPr>
          <w:rFonts w:hint="default" w:ascii="仿宋" w:hAnsi="仿宋" w:eastAsia="仿宋" w:cs="仿宋"/>
          <w:sz w:val="32"/>
          <w:szCs w:val="32"/>
        </w:rPr>
      </w:pPr>
      <w:r>
        <w:rPr>
          <w:rFonts w:ascii="仿宋" w:hAnsi="仿宋" w:eastAsia="仿宋" w:cs="仿宋"/>
          <w:sz w:val="32"/>
          <w:szCs w:val="32"/>
        </w:rPr>
        <w:t>3.资金来源及使用情况。</w:t>
      </w:r>
    </w:p>
    <w:p>
      <w:pPr>
        <w:topLinePunct/>
        <w:spacing w:line="600" w:lineRule="exact"/>
        <w:ind w:firstLine="420"/>
        <w:jc w:val="both"/>
        <w:rPr>
          <w:rFonts w:hint="default" w:ascii="仿宋" w:hAnsi="仿宋" w:eastAsia="仿宋" w:cs="仿宋"/>
          <w:sz w:val="32"/>
          <w:szCs w:val="32"/>
        </w:rPr>
      </w:pPr>
      <w:r>
        <w:rPr>
          <w:rFonts w:ascii="仿宋" w:hAnsi="仿宋" w:eastAsia="仿宋" w:cs="仿宋"/>
          <w:sz w:val="32"/>
          <w:szCs w:val="32"/>
        </w:rPr>
        <w:t>市财政每年补助120万元，其余资金由昆明日报社自筹解决。</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项目组织情况：《看昆明》杂志由昆明日报社按照新闻采编规范和流程，严格实施新闻采写规范制度、三审三校出版制度。</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项目实施流程：选题策划——选题审核——稿件采访——编辑——翻译——排版——中英文校对——审核——印刷——发行。</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资金拨付流程：资金拨付严格按照财务资金使用规范和昆明日报社财务管理相关流程执行。</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1.总目标</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创办外宣杂志《看昆明》，紧扣昆明正在主动服务和融入国家“一带一路”倡议、长江经济带建设等发展战略，以及昆明着力打造“六个春城”目标，立足昆明丰富的历史文化资源、多元的民族文化资源、优美的自然生态资源等独特资源，运用国际化理念、多元化手段、精准化传播，主动邀请南亚东南亚国家在昆留学生、驻昆领事馆官员、企业家等群体，以第一视角和第一感受描写昆明、赞美昆明、推介昆明，向南亚东南亚乃至全世界宣介开放、团结、美丽的昆明，不断提高昆明的影响力和竞争力。</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产出目标：每年出版6期（含中、英），每期120页。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效果目标：积极探索与南亚东南亚国家主流媒体在新闻采编、稿件互换、版面互换、信息资源共享、技术共享等方面的交流合作，构筑长期稳定的媒体交流平台和机制，加强国际传播能力建设，更有效地影响和引导外部舆论，着力营造昆明高质量发展的良好外部舆论环境。</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二、绩效评价工作情况</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全面了解本项目管理过程是否规范、产出目标是否完成以及效果目标是否实现等方面的内容，总结经验，查找不足，为项目在以后年度的开展提供可行性参考建议。在此基础上，重点分析项目预算编制的合理性、成本支出的真实性和控制有效性，评价财政资金的使用效率和效果，为以后年度编制项目预算、选择项目实施主体等提供参考依据。</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1.前期调研</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《看昆明》采编团队制定相关评价方案，按照方案进行资料收集与审核，进行现场和非现场评价以及综合评价，从完成期数、出稿类型、报道质量、外部效应等方面进行评价，最终完成报告撰写。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2.研究文件</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相继研究了人事管理制度、绩效考评制度以及资金管理制度，以及全市重点中心工作的相关文件等。</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3.绩效评价指标体系及工作方案的设计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制定了选题策划制度、人员管理制度、绩效考评制度以及资金管理制度，绩效考评以版面出刊数量、报道与全市中心工作契合度以及社会影响力等为标准，资金主要用于采编、翻译、印刷、硬件以及发行支出等；</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评价体系重点包括：报道内容是否围绕昆明外宣重点工作；报道数量是否符合审定方案；稿件刊发形成的舆论影响及范围。</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公平与客观、公开与开放、反馈与修改、定期化与制度化、可靠性与准确性、可行性与适用性。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稿分评定法：依据报社统一评分制度对项目采编人员工作进行考评，判定项目完成质量。</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社会调查法：根据报道引起的社会效应、受众反应、与相关部门互动程度来判定项目是否达到预期效果。涉及调查问卷，让项目相关人员就问卷项目进行评价。</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（四）绩效评价实施过程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1.数据填报和采集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统计稿件评分、读者感受评价，按照既定制度进行指标评价。</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2.社会调查</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统计读者反馈、社会评价、相关部门互动情况，注重长期跟踪。</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3.数据分析和撰写报告</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将前期收集资料进行整理，按照相关指标进行评价总结，结合预期目标形成总结报告。</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（五）本次绩效评价的局限性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由于本项目为新批复项目，项目运行实践经验方面还有所欠缺，项目相关人员配备还显不足，相关制度建设还有待进一步完善与加强。</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三、评价结论和绩效分析</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2022年，《看昆明》外宣杂志出版发行各项工作正常开展，整体质量达标，资金使用情况规范，社会反响良好。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宣传报道历史文化名城和人文风情，以及面向南亚东南亚活跃的文化交流、繁荣的文化贸易、紧密的文化合作、频繁的国际交往和对外开放，宣介昆明“汇东方与西方、融传统与现代”的城市气质和历史文脉，增强文化理解认同。</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通过宣传展示昆明的生物多样性和生态美、环境美、山水美、城市美、乡村美，让春城昆明的形象不断树立和闪亮起来，大力提升城市品质形象，持续增强昆明的知名度、美誉度。</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（二）具体绩效分析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决策方面，项目与所属部门长期发展目标和工作性质相匹配，并在前期对项目可行性进行过调研，符合要求。项目绩效目标的制定紧扣杂志定位和操作实际，能完整反映项目预期产出和效果，绩效指标清晰、可衡量。自评分19.5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项目管理方面，预算编制围绕采编活动实际情况，在需要调整预算时严格按照相关规定执行，资金使用合理、规范、节约，资金拨付程序完整，没有出现截留、挤占或挪用项目资金的情况。自评分20分。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项目绩效方面，采编活动团队提前预热，刊发稿件，跟踪活动同步报道，圆满完成各项目标，社会效益和宣传效益达到预期目标。自评分59分。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项目总评分98.5分。</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四、成本效益分析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资金的财政拨款，主要用于采编、翻译、发行、印刷、发行等支出。项目所有资金实行专款专用，资金拨付严格审批程序，使用规范，会计核算结果真实、准确。项目单位建立健全项目实施预算方案、财务管理制度和会计核算制度，此次绩效评价过程中未发现有截留、挤占或挪用项目资金的情况。</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五、主要经验及做法、存在的问题和建议</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（一）主要经验及做法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1.杂志出版要坚持正确舆论导向，壮大主流媒体舆论引导和正面宣传传播力。</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2.树立正确的新闻观，把坚持正确的舆论导向放在新闻宣传的首位，构建强大的外宣舆论引导体系，有思想有观点有内涵，发出权威声音。</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（二）存在的问题</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1.杂志新闻策划还有待加强。</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2.杂志发行覆盖面还有待扩大。</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（三）建议和改进措施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1.围绕市委、市政府中心工作，加强新闻选题策划，推出更多精品力作。</w:t>
      </w:r>
    </w:p>
    <w:p>
      <w:pPr>
        <w:spacing w:line="600" w:lineRule="exact"/>
        <w:ind w:firstLine="720" w:firstLineChars="225"/>
        <w:jc w:val="both"/>
        <w:rPr>
          <w:rFonts w:hint="default" w:ascii="仿宋" w:hAnsi="仿宋" w:eastAsia="仿宋" w:cs="仿宋"/>
          <w:sz w:val="32"/>
          <w:szCs w:val="32"/>
        </w:rPr>
      </w:pPr>
      <w:r>
        <w:rPr>
          <w:rFonts w:ascii="仿宋" w:hAnsi="仿宋" w:eastAsia="仿宋" w:cs="仿宋"/>
          <w:sz w:val="32"/>
          <w:szCs w:val="32"/>
        </w:rPr>
        <w:t>2.加强发行工作力度，增大杂志发行覆盖面，进一步增强杂志宣传影响力。</w:t>
      </w:r>
    </w:p>
    <w:p>
      <w:pPr>
        <w:spacing w:line="600" w:lineRule="exact"/>
        <w:jc w:val="both"/>
        <w:rPr>
          <w:rFonts w:hint="default" w:ascii="仿宋" w:hAnsi="仿宋" w:eastAsia="仿宋" w:cs="仿宋"/>
        </w:rPr>
      </w:pPr>
      <w:r>
        <w:rPr>
          <w:rFonts w:ascii="仿宋" w:hAnsi="仿宋" w:eastAsia="仿宋" w:cs="仿宋"/>
        </w:rPr>
        <w:t xml:space="preserve"> </w:t>
      </w:r>
    </w:p>
    <w:p>
      <w:pPr>
        <w:overflowPunct w:val="0"/>
        <w:spacing w:line="600" w:lineRule="exact"/>
        <w:jc w:val="both"/>
        <w:rPr>
          <w:rFonts w:hint="default" w:cs="宋体"/>
          <w:sz w:val="32"/>
          <w:szCs w:val="32"/>
        </w:rPr>
      </w:pPr>
      <w:r>
        <w:rPr>
          <w:rFonts w:cs="宋体"/>
          <w:sz w:val="32"/>
          <w:szCs w:val="32"/>
        </w:rPr>
        <w:br w:type="page"/>
      </w:r>
      <w:r>
        <w:rPr>
          <w:rFonts w:cs="宋体"/>
          <w:sz w:val="32"/>
          <w:szCs w:val="32"/>
        </w:rPr>
        <w:t>项目三：</w:t>
      </w:r>
    </w:p>
    <w:p>
      <w:pPr>
        <w:spacing w:line="600" w:lineRule="exact"/>
        <w:jc w:val="center"/>
        <w:rPr>
          <w:rFonts w:hint="default"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w:t>
      </w:r>
      <w:r>
        <w:rPr>
          <w:rFonts w:cs="宋体"/>
          <w:sz w:val="44"/>
          <w:szCs w:val="44"/>
        </w:rPr>
        <w:t>砥砺奋进新征程</w:t>
      </w:r>
      <w:r>
        <w:rPr>
          <w:rFonts w:ascii="方正小标宋简体" w:hAnsi="方正小标宋简体" w:eastAsia="方正小标宋简体" w:cs="方正小标宋简体"/>
          <w:sz w:val="44"/>
          <w:szCs w:val="44"/>
        </w:rPr>
        <w:t xml:space="preserve"> </w:t>
      </w:r>
      <w:r>
        <w:rPr>
          <w:rFonts w:cs="宋体"/>
          <w:sz w:val="44"/>
          <w:szCs w:val="44"/>
        </w:rPr>
        <w:t>喜迎党的二十大</w:t>
      </w:r>
      <w:r>
        <w:rPr>
          <w:rFonts w:ascii="方正小标宋简体" w:hAnsi="方正小标宋简体" w:eastAsia="方正小标宋简体" w:cs="方正小标宋简体"/>
          <w:sz w:val="44"/>
          <w:szCs w:val="44"/>
        </w:rPr>
        <w:t>—</w:t>
      </w:r>
      <w:r>
        <w:rPr>
          <w:rFonts w:cs="宋体"/>
          <w:sz w:val="44"/>
          <w:szCs w:val="44"/>
        </w:rPr>
        <w:t>党的创新理论我来讲</w:t>
      </w:r>
      <w:r>
        <w:rPr>
          <w:rFonts w:ascii="方正小标宋简体" w:hAnsi="方正小标宋简体" w:eastAsia="方正小标宋简体" w:cs="方正小标宋简体"/>
          <w:sz w:val="44"/>
          <w:szCs w:val="44"/>
        </w:rPr>
        <w:t>”</w:t>
      </w:r>
      <w:r>
        <w:rPr>
          <w:rFonts w:cs="宋体"/>
          <w:sz w:val="44"/>
          <w:szCs w:val="44"/>
        </w:rPr>
        <w:t>昆明市理论宣讲大赛</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项目支出绩效自评报告</w:t>
      </w:r>
    </w:p>
    <w:p>
      <w:pPr>
        <w:topLinePunct/>
        <w:spacing w:line="600" w:lineRule="exact"/>
        <w:ind w:firstLine="800" w:firstLineChars="250"/>
        <w:jc w:val="both"/>
        <w:rPr>
          <w:rFonts w:hint="default" w:ascii="仿宋_GB2312" w:eastAsia="仿宋_GB2312" w:cs="仿宋_GB2312"/>
          <w:sz w:val="32"/>
          <w:szCs w:val="32"/>
        </w:rPr>
      </w:pPr>
      <w:r>
        <w:rPr>
          <w:rFonts w:ascii="仿宋_GB2312" w:eastAsia="仿宋_GB2312" w:cs="仿宋_GB2312"/>
          <w:sz w:val="32"/>
          <w:szCs w:val="32"/>
        </w:rPr>
        <w:t xml:space="preserve"> </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一、项目基本情况</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（一）项目概况</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1.立项背景及目的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根据省委宣传部《关于在全省举办“砥砺奋进新征程  喜迎党的二十大——党的创新理论我来讲”理论宣讲大赛的通知》，昆明市将在全市范围举办“砥砺奋进新征程  喜迎党的二十大——党的创新理论我来讲”理论宣讲大赛，选拔优秀队伍，参加省级比赛。</w:t>
      </w:r>
    </w:p>
    <w:p>
      <w:pPr>
        <w:kinsoku w:val="0"/>
        <w:overflowPunct w:val="0"/>
        <w:adjustRightInd w:val="0"/>
        <w:snapToGrid w:val="0"/>
        <w:spacing w:line="560" w:lineRule="exact"/>
        <w:ind w:firstLine="640" w:firstLineChars="200"/>
        <w:jc w:val="both"/>
        <w:textAlignment w:val="baseline"/>
        <w:rPr>
          <w:rFonts w:hint="default" w:ascii="仿宋" w:hAnsi="仿宋" w:eastAsia="仿宋" w:cs="仿宋"/>
        </w:rPr>
      </w:pPr>
      <w:r>
        <w:rPr>
          <w:rFonts w:ascii="仿宋" w:hAnsi="仿宋" w:eastAsia="仿宋" w:cs="仿宋"/>
          <w:sz w:val="32"/>
          <w:szCs w:val="32"/>
        </w:rPr>
        <w:t>围绕“奋斗新时代、奋进新征程、担当新使命，沿着习近平总书记指引的方向奋勇前进，以优异成绩迎接党的二十大胜利召开。”的大赛主题，紧扣火热实践、先进典型、生动事例中反映出的对党的忠诚、对祖国的热爱、对人民的赤诚、对信仰的坚定的宣讲内容，通过组织比赛，不断推进马克思主义中国化时代化，生动阐释“中国共产党为什么能，中国特色社会主义为什么好”，深刻阐释“马克思主义之所以行”的奥妙所在。宣讲全市广大干部群众牢固树立“今天再晚也是早、明天再早也是晚”的效率意识，以时不我待的紧迫感大抓发展，奋力谱写好中国梦的云南篇章的生动实践。</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2.项目实施情况</w:t>
      </w:r>
    </w:p>
    <w:p>
      <w:pPr>
        <w:pStyle w:val="72"/>
        <w:ind w:firstLine="640" w:firstLineChars="200"/>
        <w:rPr>
          <w:rFonts w:ascii="仿宋" w:hAnsi="仿宋" w:eastAsia="仿宋" w:cs="仿宋"/>
        </w:rPr>
      </w:pPr>
      <w:r>
        <w:rPr>
          <w:rFonts w:hint="eastAsia" w:ascii="仿宋" w:hAnsi="仿宋" w:eastAsia="仿宋" w:cs="仿宋"/>
          <w:sz w:val="32"/>
          <w:szCs w:val="32"/>
        </w:rPr>
        <w:t>比赛现场导演、主持人、评委、场务、计分员、拍摄人员、音响控制、各参赛队员密切配合，顺利完成比赛，选拔出语言类一等奖作品3个，文艺类一等奖作品3个，得到了市委宣传部的高度肯定，并全部向省委宣传部进行了推荐。通过此次比赛，昆明市理论宣讲水平得到进一步提升，理论宣讲的形式得到了丰富，从不同视角，运用多种形式，宣讲全市广大干部群众牢固树立“今天再晚也是早、明天再早也是晚”的效率意识，以时不我待的紧迫感大抓发展，奋力谱写好中国梦的云南篇章的生动实践。</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3.资金来源及使用情况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该项目资金来源为建设学习型领导班子和落实意识形态经费。预算资金20万元，全部投入活动举办的各项工作中。</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组织情况：项目由市委宣传部主办，昆明报业传媒集团承办，市委各派出工委，各县（市）区委宣传部，各开发（度假）区工委工作部协办。市委宣传部负责牵头做好决赛统筹协调工作。包括活动组织策划、评选表彰、宣传报道等工作。昆明报业传媒集团负责做好决赛组织实施工作。制定决赛执行方案和表彰奖励方案，参赛视频录制、制作决赛手册、统筹新闻报道、氛围营造等具体工作。市委各派出工委，各县（市）区委宣传部、开发（度假）区党工委工作部负责本系统、本辖区的参赛队组织工作，按通知带队参加决赛。</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项目实施流程：2022年16日、17日“砥砺奋进新征程 喜迎党的二十大——党的创新理论我来讲”昆明市理论宣讲大赛正式启动，市委7个派出工委、14个县（市）区委宣传部，4个开发（度假）区工委工作部从本系统、本辖区的初赛中推荐优秀作品57个，按类别参加昆明市党的创新理论我来讲大赛。57个节目中，语言类节目28个，文艺类节目29个。</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比赛中，评委从宣讲主题、宣讲内容、语言表达、现场表现、着装仪表、宣讲效果等方面按照百分制现场打分。采取去掉一个最高分和一个最低分，取其余分数的平均分为选手最后得分，分数保留到小数点后两位。从高到低排出名次，确定获奖名单。最终，产生语言类一等奖3名、二等奖10名、三等奖15名；文艺类一等奖3名、二等奖10名、三等奖16名。文艺类一等奖作品《振兴》选送到省委宣传部，获得云南省理论宣讲大赛文艺类三等奖，昆明市获得活动的优秀组织奖。</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比赛结束后，为了进一步扩大活动的影响力，让更多的人听到看到优秀的理论宣讲，昆明报业传媒集团在掌上春城开设了专题页面，对此次比赛中的优秀节目视频进行展播，展播周期为1年。</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1.总目标</w:t>
      </w:r>
    </w:p>
    <w:p>
      <w:pPr>
        <w:kinsoku w:val="0"/>
        <w:overflowPunct w:val="0"/>
        <w:adjustRightInd w:val="0"/>
        <w:snapToGrid w:val="0"/>
        <w:spacing w:line="560" w:lineRule="exact"/>
        <w:ind w:firstLine="640" w:firstLineChars="200"/>
        <w:jc w:val="both"/>
        <w:textAlignment w:val="baseline"/>
        <w:rPr>
          <w:rFonts w:hint="default" w:ascii="仿宋" w:hAnsi="仿宋" w:eastAsia="仿宋" w:cs="仿宋"/>
          <w:sz w:val="32"/>
          <w:szCs w:val="32"/>
        </w:rPr>
      </w:pPr>
      <w:r>
        <w:rPr>
          <w:rFonts w:ascii="仿宋" w:hAnsi="仿宋" w:eastAsia="仿宋" w:cs="仿宋"/>
          <w:sz w:val="32"/>
          <w:szCs w:val="32"/>
        </w:rPr>
        <w:t>围绕“奋斗新时代、奋进新征程、担当新使命，沿着习近平总书记指引的方向奋勇前进，以优异成绩迎接党的二十大胜利召开。”的大赛主题，紧扣火热实践、先进典型、生动事例中反映出的对党的忠诚、对祖国的热爱、对人民的赤诚、对信仰的坚定的宣讲内容，通过组织比赛，不断推进马克思主义中国化时代化，生动阐释“中国共产党为什么能，中国特色社会主义为什么好”，深刻阐释“马克思主义之所以行”的奥妙所在。宣讲全市广大干部群众牢固树立“今天再晚也是早、明天再早也是晚”的效率意识，以时不我待的紧迫感大抓发展，奋力谱写好中国梦的云南篇章的生动实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理论宣讲大赛的形式，引导全市广大党员干部群众在理论宣讲的形式上不断创新，在演讲的基础上，大胆采用小品、情景剧、花灯歌舞、相声、快板、诗朗诵、顺口溜、音诗画等多种文艺表现形式开展理论宣讲，让党的创新理论飞入寻常百姓家，同时选拔优秀队伍参加省级比赛，力争获得好成绩。</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二、绩效评价工作情况</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（一）绩效评价目的</w:t>
      </w:r>
    </w:p>
    <w:p>
      <w:pPr>
        <w:snapToGrid w:val="0"/>
        <w:spacing w:line="600" w:lineRule="exact"/>
        <w:ind w:firstLine="640" w:firstLineChars="200"/>
        <w:jc w:val="both"/>
        <w:rPr>
          <w:rFonts w:hint="default" w:ascii="仿宋_GB2312" w:eastAsia="仿宋_GB2312" w:cs="仿宋_GB2312"/>
          <w:sz w:val="32"/>
          <w:szCs w:val="32"/>
        </w:rPr>
      </w:pPr>
      <w:r>
        <w:rPr>
          <w:rFonts w:ascii="仿宋" w:hAnsi="仿宋" w:eastAsia="仿宋" w:cs="仿宋"/>
          <w:sz w:val="32"/>
          <w:szCs w:val="32"/>
        </w:rPr>
        <w:t>通过本次绩效评价，全面了解项目决策、过程、产出和效益等情况，评价财政资金使用绩效，找出存在的问题和原因，提出建设性意见建议，进一步规范资金分配和使用，并将绩效评价结果作为编报下年预算、改进加强管理、完善政策的重要依据，进一步提高资金使用效益。</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1.前期调研</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调研,对相关文件的解读，根据绩效评价的基本原理、原则和项目特点，结合绩效目标，由绩效评价小组按确定的评价指标体系、评分标准、评价方法和相关的工作程序和步骤，在规定的时间节点内开展绩效评价工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2.绩效评价指标体系及工作方案的设计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绩效评价证据收集方法包括了研究、分析项目预算部门提供的相关文件；整理、汇总项目预算单位提供的项目资料、工作总结和合同；根据预算部门提供的基础数据表逐项进行核实。根据上述方法，从项目的立项合理性，目标的明确性，预算的准确性和管理制度的合规性等方面，对评价对象进行绩效评价。</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（三）绩效评价原则、评价方法</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1.绩效评价原则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(1)科学规范。绩效评价注重财政支出的经济性、效率性和有效性，严格执行规定的程序，采用定量与定性分析相结合的方法。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(2)公正公开。绩效评价客观、公正，标准统一、资料可靠，依法公开。</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(3)绩效相关。绩效评价针对具体支出及其产出绩效进行评价,结果清晰反映支出和产出绩效之间的紧密对应关系。</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2.绩效评价方法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本次主要采用因素分析法，采取数据对比，同时辅以资料研究等方法。</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（四）绩效评价实施过程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中华人民共和国预算法》《昆明市预算绩效管理暂行办法》（昆政办〔2013〕129号）等有关规定，结合部门职能职责，对照项目目标和实际完成情况，由单位分管领导牵头，各项目实施部门具体负责项目评价工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绩效评价围绕绩效目标的设定、资金投入和使用、为实现绩效目标制定的制度、采取的措施、绩效目标的实现程度及效果等方面内容开展自评。</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（五）本次绩效评价的局限性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本次项目评价由具体执行部门进行，依靠财政等有关部门和单位的指导，评价专业性不够，具有一定的局限性。</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三、评价结论和绩效分析</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（一）评价结论</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1.评价结果</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本项目绩效目标根据部门绩效目标制定，真实有效地反映了部门的职能，并且绩效可考核。项目资金使用有效合理，有严格的财务及内控制度把关，没有超出预算范围使用的情况发生。项目绩效指标及时完成并且完成情况良好。</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2.主要绩效</w:t>
      </w:r>
    </w:p>
    <w:p>
      <w:pPr>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理论宣讲大赛的形式，引导全市广大党员干部群众在理论宣讲的形式上不断创新，在演讲的基础上，大胆采用小品、情景剧、花灯歌舞、相声、快板、诗朗诵、顺口溜、音诗画等多种文艺表现形式开展理论宣讲，让党的创新理论飞入寻常百姓家，同时选拔优秀队伍参加省级比赛，力争获得好成绩。</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（二）具体绩效分析</w:t>
      </w:r>
    </w:p>
    <w:tbl>
      <w:tblPr>
        <w:tblStyle w:val="16"/>
        <w:tblW w:w="0" w:type="auto"/>
        <w:tblInd w:w="93" w:type="dxa"/>
        <w:tblLayout w:type="fixed"/>
        <w:tblCellMar>
          <w:top w:w="0" w:type="dxa"/>
          <w:left w:w="108" w:type="dxa"/>
          <w:bottom w:w="0" w:type="dxa"/>
          <w:right w:w="108" w:type="dxa"/>
        </w:tblCellMar>
      </w:tblPr>
      <w:tblGrid>
        <w:gridCol w:w="789"/>
        <w:gridCol w:w="1342"/>
        <w:gridCol w:w="1422"/>
        <w:gridCol w:w="3816"/>
        <w:gridCol w:w="948"/>
      </w:tblGrid>
      <w:tr>
        <w:tblPrEx>
          <w:tblCellMar>
            <w:top w:w="0" w:type="dxa"/>
            <w:left w:w="108" w:type="dxa"/>
            <w:bottom w:w="0" w:type="dxa"/>
            <w:right w:w="108" w:type="dxa"/>
          </w:tblCellMar>
        </w:tblPrEx>
        <w:trPr>
          <w:trHeight w:val="530" w:hRule="atLeast"/>
        </w:trPr>
        <w:tc>
          <w:tcPr>
            <w:tcW w:w="789" w:type="dxa"/>
            <w:vMerge w:val="restart"/>
            <w:tcBorders>
              <w:top w:val="single" w:color="000000" w:sz="4" w:space="0"/>
              <w:left w:val="single" w:color="000000" w:sz="4" w:space="0"/>
              <w:bottom w:val="nil"/>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绩</w:t>
            </w:r>
            <w:r>
              <w:rPr>
                <w:rFonts w:cs="宋体"/>
                <w:sz w:val="22"/>
                <w:szCs w:val="22"/>
              </w:rPr>
              <w:br w:type="textWrapping"/>
            </w:r>
            <w:r>
              <w:rPr>
                <w:rFonts w:cs="宋体"/>
                <w:sz w:val="22"/>
                <w:szCs w:val="22"/>
              </w:rPr>
              <w:t>效</w:t>
            </w:r>
            <w:r>
              <w:rPr>
                <w:rFonts w:cs="宋体"/>
                <w:sz w:val="22"/>
                <w:szCs w:val="22"/>
              </w:rPr>
              <w:br w:type="textWrapping"/>
            </w:r>
            <w:r>
              <w:rPr>
                <w:rFonts w:cs="宋体"/>
                <w:sz w:val="22"/>
                <w:szCs w:val="22"/>
              </w:rPr>
              <w:t>指</w:t>
            </w:r>
            <w:r>
              <w:rPr>
                <w:rFonts w:cs="宋体"/>
                <w:sz w:val="22"/>
                <w:szCs w:val="22"/>
              </w:rPr>
              <w:br w:type="textWrapping"/>
            </w:r>
            <w:r>
              <w:rPr>
                <w:rFonts w:cs="宋体"/>
                <w:sz w:val="22"/>
                <w:szCs w:val="22"/>
              </w:rPr>
              <w:t>标</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一级指标</w:t>
            </w:r>
          </w:p>
        </w:tc>
        <w:tc>
          <w:tcPr>
            <w:tcW w:w="14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二级指标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三级指标</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得分</w:t>
            </w:r>
          </w:p>
        </w:tc>
      </w:tr>
      <w:tr>
        <w:tblPrEx>
          <w:tblCellMar>
            <w:top w:w="0" w:type="dxa"/>
            <w:left w:w="108" w:type="dxa"/>
            <w:bottom w:w="0" w:type="dxa"/>
            <w:right w:w="108" w:type="dxa"/>
          </w:tblCellMar>
        </w:tblPrEx>
        <w:trPr>
          <w:trHeight w:val="428"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产出指标</w:t>
            </w:r>
          </w:p>
        </w:tc>
        <w:tc>
          <w:tcPr>
            <w:tcW w:w="1422"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数量指标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决赛队伍</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8</w:t>
            </w:r>
          </w:p>
        </w:tc>
      </w:tr>
      <w:tr>
        <w:tblPrEx>
          <w:tblCellMar>
            <w:top w:w="0" w:type="dxa"/>
            <w:left w:w="108" w:type="dxa"/>
            <w:bottom w:w="0" w:type="dxa"/>
            <w:right w:w="108" w:type="dxa"/>
          </w:tblCellMar>
        </w:tblPrEx>
        <w:trPr>
          <w:trHeight w:val="428"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决赛节目</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8</w:t>
            </w:r>
          </w:p>
        </w:tc>
      </w:tr>
      <w:tr>
        <w:tblPrEx>
          <w:tblCellMar>
            <w:top w:w="0" w:type="dxa"/>
            <w:left w:w="108" w:type="dxa"/>
            <w:bottom w:w="0" w:type="dxa"/>
            <w:right w:w="108" w:type="dxa"/>
          </w:tblCellMar>
        </w:tblPrEx>
        <w:trPr>
          <w:trHeight w:val="428"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汇报宣讲节目</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8</w:t>
            </w:r>
          </w:p>
        </w:tc>
      </w:tr>
      <w:tr>
        <w:tblPrEx>
          <w:tblCellMar>
            <w:top w:w="0" w:type="dxa"/>
            <w:left w:w="108" w:type="dxa"/>
            <w:bottom w:w="0" w:type="dxa"/>
            <w:right w:w="108" w:type="dxa"/>
          </w:tblCellMar>
        </w:tblPrEx>
        <w:trPr>
          <w:trHeight w:val="428"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比赛场次</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8</w:t>
            </w:r>
          </w:p>
        </w:tc>
      </w:tr>
      <w:tr>
        <w:tblPrEx>
          <w:tblCellMar>
            <w:top w:w="0" w:type="dxa"/>
            <w:left w:w="108" w:type="dxa"/>
            <w:bottom w:w="0" w:type="dxa"/>
            <w:right w:w="108" w:type="dxa"/>
          </w:tblCellMar>
        </w:tblPrEx>
        <w:trPr>
          <w:trHeight w:val="428"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录制节目视频</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8</w:t>
            </w:r>
          </w:p>
        </w:tc>
      </w:tr>
      <w:tr>
        <w:tblPrEx>
          <w:tblCellMar>
            <w:top w:w="0" w:type="dxa"/>
            <w:left w:w="108" w:type="dxa"/>
            <w:bottom w:w="0" w:type="dxa"/>
            <w:right w:w="108" w:type="dxa"/>
          </w:tblCellMar>
        </w:tblPrEx>
        <w:trPr>
          <w:trHeight w:val="644"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质量指标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理论宣讲大赛在昆明地区覆盖率</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w:t>
            </w:r>
          </w:p>
        </w:tc>
      </w:tr>
      <w:tr>
        <w:tblPrEx>
          <w:tblCellMar>
            <w:top w:w="0" w:type="dxa"/>
            <w:left w:w="108" w:type="dxa"/>
            <w:bottom w:w="0" w:type="dxa"/>
            <w:right w:w="108" w:type="dxa"/>
          </w:tblCellMar>
        </w:tblPrEx>
        <w:trPr>
          <w:trHeight w:val="599"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理论宣讲活动的品牌效应</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1161"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效益指标</w:t>
            </w:r>
          </w:p>
        </w:tc>
        <w:tc>
          <w:tcPr>
            <w:tcW w:w="14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社会效益指标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活动广泛动员14县（市）区、4个开发（度假）区和7个市委各派出工委的200余个单位开展理论宣讲</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503"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可持续影响指标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项目宣讲视频的可持续带动作用</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428"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项目新增理论宣讲人才</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780"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满意度</w:t>
            </w:r>
            <w:r>
              <w:rPr>
                <w:rFonts w:cs="宋体"/>
                <w:sz w:val="22"/>
                <w:szCs w:val="22"/>
              </w:rPr>
              <w:br w:type="textWrapping"/>
            </w:r>
            <w:r>
              <w:rPr>
                <w:rFonts w:cs="宋体"/>
                <w:sz w:val="22"/>
                <w:szCs w:val="22"/>
              </w:rPr>
              <w:t>指标</w:t>
            </w:r>
          </w:p>
        </w:tc>
        <w:tc>
          <w:tcPr>
            <w:tcW w:w="14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服务对象满意度指标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参赛单位、公众满意度</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780" w:hRule="atLeast"/>
        </w:trPr>
        <w:tc>
          <w:tcPr>
            <w:tcW w:w="7369" w:type="dxa"/>
            <w:gridSpan w:val="4"/>
            <w:tcBorders>
              <w:top w:val="nil"/>
              <w:left w:val="single" w:color="000000" w:sz="4" w:space="0"/>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ab/>
            </w:r>
            <w:r>
              <w:rPr>
                <w:rFonts w:cs="宋体"/>
                <w:sz w:val="22"/>
                <w:szCs w:val="22"/>
              </w:rPr>
              <w:t>合计：</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99</w:t>
            </w:r>
          </w:p>
        </w:tc>
      </w:tr>
    </w:tbl>
    <w:p>
      <w:pPr>
        <w:pStyle w:val="72"/>
      </w:pPr>
      <w:r>
        <w:t xml:space="preserve"> </w:t>
      </w:r>
    </w:p>
    <w:p>
      <w:pPr>
        <w:spacing w:line="600" w:lineRule="exact"/>
        <w:ind w:firstLine="640" w:firstLineChars="200"/>
        <w:jc w:val="both"/>
        <w:rPr>
          <w:rFonts w:hint="default" w:ascii="黑体" w:eastAsia="黑体" w:cs="黑体"/>
          <w:sz w:val="32"/>
          <w:szCs w:val="32"/>
        </w:rPr>
      </w:pPr>
      <w:r>
        <w:rPr>
          <w:rFonts w:ascii="黑体" w:eastAsia="黑体" w:cs="黑体"/>
          <w:sz w:val="32"/>
          <w:szCs w:val="32"/>
        </w:rPr>
        <w:t xml:space="preserve">四、成本效益分析 </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1.项目的经济性分析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在项目成本（预算）控制方面，主要从技术开发、活动宣传推广、活动场地租赁、场地布置、专家评审劳务费等方面来控制，对项目相关的费用逐一列项，严格审查，在保证项目正常实施的情况下，节约各项开支。</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2.项目支出结构</w:t>
      </w:r>
    </w:p>
    <w:p>
      <w:pPr>
        <w:spacing w:line="600" w:lineRule="exact"/>
        <w:ind w:firstLine="640" w:firstLineChars="200"/>
        <w:jc w:val="both"/>
        <w:rPr>
          <w:rFonts w:hint="default" w:ascii="仿宋" w:hAnsi="仿宋" w:eastAsia="仿宋" w:cs="仿宋"/>
        </w:rPr>
      </w:pPr>
      <w:r>
        <w:rPr>
          <w:rFonts w:ascii="仿宋" w:hAnsi="仿宋" w:eastAsia="仿宋" w:cs="仿宋"/>
          <w:sz w:val="32"/>
          <w:szCs w:val="32"/>
        </w:rPr>
        <w:t>80%费用投入技术开发、活动宣传推广、活动场地租赁、场地布置、专家评审劳务费，取得了较好、较热的传播效果。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20%的费用用于奖品购买、奖状发放，有效拉动活动参与互动积极性。</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3.项目有效性分析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昆明市理论宣讲大赛正式启动于2022年16日、17日正式启动，市委7个派出工委、14个县（市）区委宣传部，4个开发（度假）区工委工作部从本系统、本辖区的初赛中推荐优秀作品57个，其中，语言类节目28个，文艺类节目29个。最终，产生语言类一等奖3名、二等奖10名、三等奖15名；文艺类一等奖3名、二等奖10名、三等奖16名。文艺类一等奖作品《振兴》选送到省委宣传部，获得云南省理论宣讲大赛文艺类三等奖，昆明市获得活动的优秀组织奖。</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昆明报业传媒集团（昆明日报社）在掌上春城客户端开设了专题页面，对此次比赛中的优秀节目视频进行展播，展播周期为1年。</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4.项目的可持续性分析</w:t>
      </w:r>
    </w:p>
    <w:p>
      <w:pPr>
        <w:spacing w:line="600" w:lineRule="exact"/>
        <w:jc w:val="both"/>
        <w:rPr>
          <w:rFonts w:hint="default" w:ascii="仿宋" w:hAnsi="仿宋" w:eastAsia="仿宋" w:cs="仿宋"/>
          <w:sz w:val="32"/>
          <w:szCs w:val="32"/>
        </w:rPr>
      </w:pPr>
      <w:r>
        <w:rPr>
          <w:rFonts w:ascii="仿宋" w:hAnsi="仿宋" w:eastAsia="仿宋" w:cs="仿宋"/>
          <w:sz w:val="32"/>
          <w:szCs w:val="32"/>
        </w:rPr>
        <w:t xml:space="preserve">    通过组织比赛，不断推进马克思主义中国化时代化，生动阐释“中国共产党为什么能，中国特色社会主义为什么好”，深刻阐释“马克思主义之所以行”的奥妙所在。宣讲全市广大干部群众牢固树立“今天再晚也是早、明天再早也是晚”的效率意识，以时不我待的紧迫感大抓发展，奋力谱写好中国梦的云南篇章的生动实践。</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五、主要经验及做法、存在的问题和建议</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（一）主要经验及做法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“砥砺奋进新征程 喜迎党的二十大——党的创新理论我来讲”昆明市理论宣讲大赛在类别设置上严格按照省级比赛的方案设置，分语言类、文艺类两大类。语言类宣讲每队参赛人数为1人，要求口语化、通俗化，形象生动，时间15分钟以内。文艺类宣讲每队人数不超过3人，可以采用小品、情景剧、花灯歌舞、相声、快板、诗朗诵、顺口溜、音诗画等多种文艺表现形式，时间控制在10分钟之内。语言类比赛，共计28个节目，文艺类比赛，共计29个节目。评委从宣讲主题、宣讲内容、语言表达、现场表现、着装仪表、宣讲效果等方面按照百分制现场打分。采取去掉一个最高分和一个最低分，取其余分数的平均分为选手最后得分，分数保留到小数点后两位。从高到低排出名次，确定获奖名单。</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（二）存在的问题</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本次理论宣讲大赛是第三届，好的语言类、文艺类作品都需要时间的打磨，今年给予各位选手的时间不够，因为大家的工作比较繁重，作品主题重合率较高，创新性不足。</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（三）建议及改进措施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在下一届比赛的组织当中，在前期策划上，尽可能多给选手一些准备时间，给推荐参加省赛的选手更多地指导和准备。</w:t>
      </w:r>
    </w:p>
    <w:p>
      <w:pPr>
        <w:overflowPunct w:val="0"/>
        <w:spacing w:line="600" w:lineRule="exact"/>
        <w:jc w:val="both"/>
        <w:rPr>
          <w:rFonts w:hint="default" w:ascii="仿宋" w:hAnsi="仿宋" w:eastAsia="仿宋" w:cs="仿宋"/>
          <w:sz w:val="32"/>
          <w:szCs w:val="32"/>
        </w:rPr>
      </w:pPr>
      <w:r>
        <w:rPr>
          <w:rFonts w:ascii="仿宋" w:hAnsi="仿宋" w:eastAsia="仿宋" w:cs="仿宋"/>
          <w:sz w:val="32"/>
          <w:szCs w:val="32"/>
        </w:rPr>
        <w:t xml:space="preserve"> </w:t>
      </w:r>
    </w:p>
    <w:p>
      <w:pPr>
        <w:pStyle w:val="72"/>
        <w:rPr>
          <w:rFonts w:eastAsia="仿宋_GB2312"/>
          <w:sz w:val="32"/>
          <w:szCs w:val="32"/>
        </w:rPr>
      </w:pPr>
      <w:r>
        <w:rPr>
          <w:rFonts w:eastAsia="仿宋_GB2312"/>
          <w:sz w:val="32"/>
          <w:szCs w:val="32"/>
        </w:rPr>
        <w:t xml:space="preserve"> </w:t>
      </w:r>
    </w:p>
    <w:p>
      <w:pPr>
        <w:pStyle w:val="72"/>
        <w:rPr>
          <w:rFonts w:eastAsia="仿宋_GB2312"/>
          <w:sz w:val="32"/>
          <w:szCs w:val="32"/>
        </w:rPr>
      </w:pPr>
      <w:r>
        <w:rPr>
          <w:rFonts w:eastAsia="仿宋_GB2312"/>
          <w:sz w:val="32"/>
          <w:szCs w:val="32"/>
        </w:rPr>
        <w:t xml:space="preserve"> </w:t>
      </w:r>
    </w:p>
    <w:p>
      <w:pPr>
        <w:pStyle w:val="72"/>
        <w:rPr>
          <w:rFonts w:eastAsia="仿宋_GB2312"/>
          <w:sz w:val="32"/>
          <w:szCs w:val="32"/>
        </w:rPr>
      </w:pPr>
      <w:r>
        <w:rPr>
          <w:rFonts w:eastAsia="仿宋_GB2312"/>
          <w:sz w:val="32"/>
          <w:szCs w:val="32"/>
        </w:rPr>
        <w:t xml:space="preserve"> </w:t>
      </w:r>
    </w:p>
    <w:p>
      <w:pPr>
        <w:pStyle w:val="72"/>
        <w:rPr>
          <w:rFonts w:eastAsia="仿宋_GB2312"/>
          <w:sz w:val="32"/>
          <w:szCs w:val="32"/>
        </w:rPr>
      </w:pPr>
      <w:r>
        <w:rPr>
          <w:rFonts w:eastAsia="仿宋_GB2312"/>
          <w:sz w:val="32"/>
          <w:szCs w:val="32"/>
        </w:rPr>
        <w:t xml:space="preserve"> </w:t>
      </w:r>
    </w:p>
    <w:p>
      <w:pPr>
        <w:pStyle w:val="72"/>
        <w:rPr>
          <w:rFonts w:eastAsia="仿宋_GB2312"/>
          <w:sz w:val="32"/>
          <w:szCs w:val="32"/>
        </w:rPr>
      </w:pPr>
      <w:r>
        <w:rPr>
          <w:rFonts w:eastAsia="仿宋_GB2312"/>
          <w:sz w:val="32"/>
          <w:szCs w:val="32"/>
        </w:rPr>
        <w:t xml:space="preserve"> </w:t>
      </w:r>
    </w:p>
    <w:p>
      <w:pPr>
        <w:pStyle w:val="72"/>
        <w:rPr>
          <w:rFonts w:ascii="楷体_GB2312" w:eastAsia="楷体_GB2312" w:cs="楷体_GB2312"/>
          <w:sz w:val="32"/>
          <w:szCs w:val="32"/>
        </w:rPr>
      </w:pPr>
      <w:r>
        <w:rPr>
          <w:rFonts w:hint="eastAsia" w:ascii="宋体" w:hAnsi="宋体" w:cs="宋体"/>
          <w:sz w:val="32"/>
          <w:szCs w:val="32"/>
        </w:rPr>
        <w:t>项目四：</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第三届昆明市</w:t>
      </w:r>
      <w:r>
        <w:rPr>
          <w:rFonts w:ascii="方正小标宋简体" w:hAnsi="方正小标宋简体" w:eastAsia="方正小标宋简体" w:cs="方正小标宋简体"/>
          <w:sz w:val="44"/>
          <w:szCs w:val="44"/>
        </w:rPr>
        <w:t>“</w:t>
      </w:r>
      <w:r>
        <w:rPr>
          <w:rFonts w:cs="宋体"/>
          <w:sz w:val="44"/>
          <w:szCs w:val="44"/>
        </w:rPr>
        <w:t>学习强国</w:t>
      </w:r>
      <w:r>
        <w:rPr>
          <w:rFonts w:ascii="方正小标宋简体" w:hAnsi="方正小标宋简体" w:eastAsia="方正小标宋简体" w:cs="方正小标宋简体"/>
          <w:sz w:val="44"/>
          <w:szCs w:val="44"/>
        </w:rPr>
        <w:t>·</w:t>
      </w:r>
      <w:r>
        <w:rPr>
          <w:rFonts w:cs="宋体"/>
          <w:sz w:val="44"/>
          <w:szCs w:val="44"/>
        </w:rPr>
        <w:t>学习达人</w:t>
      </w:r>
      <w:r>
        <w:rPr>
          <w:rFonts w:ascii="方正小标宋简体" w:hAnsi="方正小标宋简体" w:eastAsia="方正小标宋简体" w:cs="方正小标宋简体"/>
          <w:sz w:val="44"/>
          <w:szCs w:val="44"/>
        </w:rPr>
        <w:t>”</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学习竞赛项目支出绩效自评报告</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 xml:space="preserve"> </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一、项目基本情况</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（一）项目立项背景及目的</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1.立项背景及目的</w:t>
      </w:r>
    </w:p>
    <w:p>
      <w:pPr>
        <w:spacing w:line="600" w:lineRule="exact"/>
        <w:ind w:firstLine="640" w:firstLineChars="200"/>
        <w:jc w:val="both"/>
        <w:rPr>
          <w:rFonts w:hint="default" w:ascii="仿宋" w:hAnsi="仿宋" w:eastAsia="仿宋" w:cs="仿宋"/>
          <w:sz w:val="32"/>
          <w:szCs w:val="32"/>
        </w:rPr>
      </w:pPr>
      <w:r>
        <w:rPr>
          <w:rStyle w:val="61"/>
          <w:rFonts w:hint="eastAsia" w:ascii="仿宋" w:hAnsi="仿宋" w:eastAsia="仿宋" w:cs="仿宋"/>
          <w:sz w:val="32"/>
          <w:szCs w:val="32"/>
        </w:rPr>
        <w:t>为深入学习宣传贯彻习近平新时代中国特色社会主义思想，持续巩固深化党史学习教育成果，进一步引导广大党员干部群众用好“学习强国”学习平台，以实际行动迎接党的二十大胜利召开，定于 2022 年 5 月至 7 月举办第三届昆明市“学习强国 学习达人”学习竞赛。</w:t>
      </w:r>
    </w:p>
    <w:p>
      <w:pPr>
        <w:spacing w:line="600" w:lineRule="exact"/>
        <w:ind w:firstLine="640" w:firstLineChars="200"/>
        <w:jc w:val="both"/>
        <w:rPr>
          <w:rFonts w:hint="default" w:ascii="仿宋" w:hAnsi="仿宋" w:eastAsia="仿宋" w:cs="仿宋"/>
          <w:sz w:val="32"/>
          <w:szCs w:val="32"/>
        </w:rPr>
      </w:pPr>
      <w:r>
        <w:rPr>
          <w:rStyle w:val="61"/>
          <w:rFonts w:hint="eastAsia" w:ascii="仿宋" w:hAnsi="仿宋" w:eastAsia="仿宋" w:cs="仿宋"/>
          <w:sz w:val="32"/>
          <w:szCs w:val="32"/>
        </w:rPr>
        <w:t>举行第三届昆明市“学习强国·学习达人”学习竞赛，进行线上答题、线下比赛，表彰鼓励学习强国年度总积分前30名、年度积分前30名。通过此项目的开展，旨在形成你追我赶、比学赶超的学习氛围，有力引导了广大党员干部群众深入学习领会习近平总书记在党史学习教育动员大会上的重要讲话精神，做到学党史、悟思想、办实事、开新局。</w:t>
      </w:r>
    </w:p>
    <w:p>
      <w:pPr>
        <w:spacing w:line="600" w:lineRule="exact"/>
        <w:ind w:firstLine="640" w:firstLineChars="200"/>
        <w:jc w:val="both"/>
        <w:rPr>
          <w:rFonts w:hint="default" w:ascii="仿宋" w:hAnsi="仿宋" w:eastAsia="仿宋" w:cs="仿宋"/>
          <w:sz w:val="32"/>
          <w:szCs w:val="32"/>
        </w:rPr>
      </w:pPr>
      <w:r>
        <w:rPr>
          <w:rStyle w:val="61"/>
          <w:rFonts w:hint="eastAsia" w:ascii="仿宋" w:hAnsi="仿宋" w:eastAsia="仿宋" w:cs="仿宋"/>
          <w:sz w:val="32"/>
          <w:szCs w:val="32"/>
        </w:rPr>
        <w:t>此次活动旨在教育引导广大党员、干部和群众从党的辉煌成就、艰辛历程、历史经验、优良传统中，深刻领悟中国共产党为什么“能”、马克思主义为什么“行”、中国特色社会主义为什么“好”，深刻把握中国特色社会主义发展的历史逻辑、理论逻辑和实践逻辑；深刻领悟坚持中国共产党领导的历史必然性，坚定对党的领导的自信；深刻领悟习近平新时代中国特色社会主义思想的真理性，增强自觉贯彻落实党的创新理论的坚定性；深刻领悟中国特色社会主义道路的正确性，坚定不移走中国特色社会主义这条唯一正确的道路。同时，把学党史、悟思想、办实事、开新局贯穿始终，在党史学习教育中激发奋进力量，把学习成效转化为工作动力和成效。</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2.项目实施情况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中共昆明市委宣传部下发的《关于组织举办第三届昆明市“学习强国·学习达人”学习竞赛的通知》，各县（市）区委宣传部、各开发（度假）区党工委工作部、市委各派出党工委自行组织选拔赛，遴选优秀选手组建1支代表队，全市共组建24支代表队。于2022年5月6日至5月7日在昆明市新闻中心举行比赛，首先进行的是资格赛，其次是淘汰赛，最终有12位个人赛选手、10支团体赛队伍进入决赛。经过激烈的比拼最终评选出个人赛一等奖1个、二等奖4个、三等奖7个，团体赛一等奖1个、二等奖3个、三等奖6个。</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市级决赛产生省级赛预备队选手，于省级赛前开展两轮累计7天的赛前脱产集训，于7月17日至28日脱产培训参加比赛。</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3.资金来源及使用情况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项目资金来源为建设学习型领导班子和意识形态经费25万元，拨付至昆明报业传媒集团（昆明日报社）的零余额账户，专款用于本项目各项工作。</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项目组织情况：昆明报业传媒集团（昆明日报社）抽调专业的活动组织人员，整个工作时间跨度长、参与人数多、工作任务重，全体人员齐心合力、精益求精、加班加点、不计得失按时圆满完成任务。</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项目实施流程：工作人员接到宣传部的要求，展开活动的执行方案策划。期间，反复向宣传部报送方案，多次进行细节调整。最终获批实施。</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资金拨付流程：资金为财政资金，由市财政零余额账户拨付。</w:t>
      </w:r>
    </w:p>
    <w:p>
      <w:pPr>
        <w:topLinePunct/>
        <w:spacing w:line="600" w:lineRule="exact"/>
        <w:ind w:firstLine="640" w:firstLineChars="200"/>
        <w:jc w:val="both"/>
        <w:rPr>
          <w:rFonts w:hint="default" w:cs="宋体"/>
          <w:sz w:val="32"/>
          <w:szCs w:val="32"/>
        </w:rPr>
      </w:pPr>
      <w:r>
        <w:rPr>
          <w:rFonts w:ascii="楷体" w:hAnsi="楷体" w:eastAsia="楷体" w:cs="楷体"/>
          <w:sz w:val="32"/>
          <w:szCs w:val="32"/>
        </w:rPr>
        <w:t>（二）绩效目标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1.总目标</w:t>
      </w:r>
    </w:p>
    <w:p>
      <w:pPr>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为深入学习宣传贯彻习近平新时代中国特色社会主义思想，持续巩固深化党史学习教育成果，进一步引导广大党员干部群众用好“学习强国”学习平台，以实际行动迎接党的二十大胜利召开，定于 2022 年 5 月至 7 月举办第三届昆明市“学习强国 学习达人”学习竞赛。</w:t>
      </w:r>
    </w:p>
    <w:p>
      <w:pPr>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举行第三届昆明市“学习强国·学习达人”学习竞赛，进行线上答题、线下比赛，表彰鼓励学习强国年度总积分前30名、年度积分前30名。通过此项目的开展，旨在形成你追我赶、比学赶超的学习氛围，有力引导了广大党员干部群众深入学习领会习近平总书记在党史学习教育动员大会上的重要讲话精神，做到学党史、悟思想、办实事、开新局。</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snapToGrid w:val="0"/>
        <w:spacing w:line="600" w:lineRule="exact"/>
        <w:ind w:firstLine="640" w:firstLineChars="200"/>
        <w:jc w:val="both"/>
        <w:rPr>
          <w:rFonts w:hint="default" w:ascii="仿宋_GB2312" w:eastAsia="仿宋_GB2312" w:cs="仿宋_GB2312"/>
          <w:sz w:val="32"/>
          <w:szCs w:val="32"/>
        </w:rPr>
      </w:pPr>
      <w:r>
        <w:rPr>
          <w:rFonts w:ascii="仿宋" w:hAnsi="仿宋" w:eastAsia="仿宋" w:cs="仿宋"/>
          <w:sz w:val="32"/>
          <w:szCs w:val="32"/>
        </w:rPr>
        <w:t>此次活动旨在教育引导广大党员、干部和群众从党的辉煌成就、艰辛历程、历史经验、优良传统中，深刻领悟中国共产党为什么“能”、马克思主义为什么“行”、中国特色社会主义为什么“好”，深刻把握中国特色社会主义发展的历史逻辑、理论逻辑和实践逻辑；深刻领悟坚持中国共产党领导的历史必然性，坚定对党的领导的自信；深刻领悟习近平新时代中国特色社会主义思想的真理性，增强自觉贯彻落实党的创新理论的坚定性；深刻领悟中国特色社会主义道路的正确性，坚定不移走中国特色社会主义这条唯一正确的道路。同时，把学党史、悟思想、办实事、开新局贯穿始终，在党史学习教育中激发奋进力量，把学习成效转化为工作动力和成效。</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二、绩效评价工作情况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本次绩效评价，全面了解项目决策、过程、产出和效益等情况，评价财政资金使用绩效，找出存在的问题和原因，提出建设性意见建议，进一步规范资金分配和使用，并将绩效评价结果作为编报下年预算、改进加强管理、完善政策的重要依据，进一步提高资金使用效益。</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（二）绩效评价工作方案制定过程</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1.前期调研</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调研,对相关文件的解读，根据绩效评价的基本原理、原则和项目特点，结合绩效目标，由绩效评价小组按确定的评价指标体系、评分标准、评价方法和相关的工作程序和步骤，在规定的时间节点内开展绩效评价工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2.绩效评价指标体系及工作方案的设计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绩效评价证据收集方法包括了研究、分析项目预算部门提供的相关文件；整理、汇总项目预算单位提供的项目资料、工作总结和合同；根据预算部门提供的基础数据表逐项进行核实。根据上述方法，从项目的立项合理性，目标的明确性，预算的准确性和管理制度的合规性等方面，对评价对象进行绩效评价。</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(1)科学规范。绩效评价注重财政支出的经济性、效率性和有效性，严格执行规定的程序，采用定量与定性分析相结合的方法。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(2)公正公开。绩效评价客观、公正，标准统一、资料可靠，依法公开。</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(3)绩效相关。绩效评价针对具体支出及其产出绩效进行评价,结果清晰反映支出和产出绩效之间的紧密对应关系。</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本次主要采用因素分析法，采取数据对比，标准和抽样调查相结合，同时辅以问卷抽查、资料研究等方法。</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（四）绩效评价实施过程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中华人民共和国预算法》《昆明市预算绩效管理暂行办法》（昆政办〔2013〕129号）等有关规定，结合部门职能职责，对照项目目标和实际完成情况，由单位分管领导牵头，各项目实施部门具体负责项目评价工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绩效评价围绕绩效目标的设定、资金投入和使用、为实现绩效目标制定的制度、采取的措施、绩效目标的实现程度及效果等方面内容开展自评。</w:t>
      </w:r>
    </w:p>
    <w:p>
      <w:pPr>
        <w:topLinePunct/>
        <w:spacing w:line="600" w:lineRule="exact"/>
        <w:ind w:firstLine="640" w:firstLineChars="200"/>
        <w:jc w:val="both"/>
        <w:rPr>
          <w:rFonts w:hint="default" w:cs="宋体"/>
          <w:sz w:val="32"/>
          <w:szCs w:val="32"/>
        </w:rPr>
      </w:pPr>
      <w:r>
        <w:rPr>
          <w:rFonts w:ascii="楷体" w:hAnsi="楷体" w:eastAsia="楷体" w:cs="楷体"/>
          <w:sz w:val="32"/>
          <w:szCs w:val="32"/>
        </w:rPr>
        <w:t>（五）本次绩效评价的局限性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本次项目评价由具体执行部门进行，依靠财政等有关部门和单位的指导，评价专业性不够，具有一定的局限性。</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三、评价结论和绩效分析</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项目绩效目标根据部门绩效目标制定，真实有效地反映了部门的职能，并且绩效可考核。项目资金使用有效合理，有严格的财务及内控制度把关，没有超出预算范围使用的情况发生。项目绩效指标及时完成并且完成情况良好。</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中共昆明市委宣传部下发的《关于组织举办第三届昆明市“学习强国·学习达人”学习竞赛的通知》，各县（市）区委宣传部、各开发（度假）区党工委工作部、市委各派出党工委自行组织选拔赛，遴选优秀选手组建1支代表队，全市共组建24支代表队。于2022年5月6日至5月7日在昆明市新闻中心举行比赛，首先进行的是资格赛，其次是淘汰赛，最终有12位个人赛选手、10支团体赛队伍进入决赛。经过激烈的比拼最终评选出个人赛一等奖1个、二等奖4个、三等奖7个，团体赛一等奖1个、二等奖3个、三等奖6个。</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市级决赛产生省级赛预备队选手，于省级赛前开展两轮累计7天的赛前脱产集训，于7月17日至28日期间脱产培训参加比赛。</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（二）具体绩效分析</w:t>
      </w:r>
    </w:p>
    <w:tbl>
      <w:tblPr>
        <w:tblStyle w:val="16"/>
        <w:tblW w:w="0" w:type="auto"/>
        <w:tblInd w:w="100" w:type="dxa"/>
        <w:tblLayout w:type="fixed"/>
        <w:tblCellMar>
          <w:top w:w="0" w:type="dxa"/>
          <w:left w:w="108" w:type="dxa"/>
          <w:bottom w:w="0" w:type="dxa"/>
          <w:right w:w="108" w:type="dxa"/>
        </w:tblCellMar>
      </w:tblPr>
      <w:tblGrid>
        <w:gridCol w:w="786"/>
        <w:gridCol w:w="1341"/>
        <w:gridCol w:w="1420"/>
        <w:gridCol w:w="3805"/>
        <w:gridCol w:w="946"/>
      </w:tblGrid>
      <w:tr>
        <w:tblPrEx>
          <w:tblCellMar>
            <w:top w:w="0" w:type="dxa"/>
            <w:left w:w="108" w:type="dxa"/>
            <w:bottom w:w="0" w:type="dxa"/>
            <w:right w:w="108" w:type="dxa"/>
          </w:tblCellMar>
        </w:tblPrEx>
        <w:trPr>
          <w:trHeight w:val="494" w:hRule="atLeast"/>
        </w:trPr>
        <w:tc>
          <w:tcPr>
            <w:tcW w:w="786" w:type="dxa"/>
            <w:vMerge w:val="restart"/>
            <w:tcBorders>
              <w:top w:val="single" w:color="000000" w:sz="4" w:space="0"/>
              <w:left w:val="single" w:color="000000" w:sz="4" w:space="0"/>
              <w:bottom w:val="nil"/>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绩</w:t>
            </w:r>
            <w:r>
              <w:rPr>
                <w:rFonts w:cs="宋体"/>
                <w:sz w:val="22"/>
                <w:szCs w:val="22"/>
              </w:rPr>
              <w:br w:type="textWrapping"/>
            </w:r>
            <w:r>
              <w:rPr>
                <w:rFonts w:cs="宋体"/>
                <w:sz w:val="22"/>
                <w:szCs w:val="22"/>
              </w:rPr>
              <w:t>效</w:t>
            </w:r>
            <w:r>
              <w:rPr>
                <w:rFonts w:cs="宋体"/>
                <w:sz w:val="22"/>
                <w:szCs w:val="22"/>
              </w:rPr>
              <w:br w:type="textWrapping"/>
            </w:r>
            <w:r>
              <w:rPr>
                <w:rFonts w:cs="宋体"/>
                <w:sz w:val="22"/>
                <w:szCs w:val="22"/>
              </w:rPr>
              <w:t>指</w:t>
            </w:r>
            <w:r>
              <w:rPr>
                <w:rFonts w:cs="宋体"/>
                <w:sz w:val="22"/>
                <w:szCs w:val="22"/>
              </w:rPr>
              <w:br w:type="textWrapping"/>
            </w:r>
            <w:r>
              <w:rPr>
                <w:rFonts w:cs="宋体"/>
                <w:sz w:val="22"/>
                <w:szCs w:val="22"/>
              </w:rPr>
              <w:t>标</w:t>
            </w:r>
          </w:p>
        </w:tc>
        <w:tc>
          <w:tcPr>
            <w:tcW w:w="134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一级指标</w:t>
            </w:r>
          </w:p>
        </w:tc>
        <w:tc>
          <w:tcPr>
            <w:tcW w:w="1420"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二级指标</w:t>
            </w: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三级指标</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得分</w:t>
            </w:r>
          </w:p>
        </w:tc>
      </w:tr>
      <w:tr>
        <w:tblPrEx>
          <w:tblCellMar>
            <w:top w:w="0" w:type="dxa"/>
            <w:left w:w="108" w:type="dxa"/>
            <w:bottom w:w="0" w:type="dxa"/>
            <w:right w:w="108" w:type="dxa"/>
          </w:tblCellMar>
        </w:tblPrEx>
        <w:trPr>
          <w:trHeight w:val="384"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1"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产出指标</w:t>
            </w:r>
          </w:p>
        </w:tc>
        <w:tc>
          <w:tcPr>
            <w:tcW w:w="1420" w:type="dxa"/>
            <w:vMerge w:val="restart"/>
            <w:tcBorders>
              <w:top w:val="nil"/>
              <w:left w:val="nil"/>
              <w:bottom w:val="nil"/>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数量指标</w:t>
            </w: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知识竞赛参与队伍</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384"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1"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continue"/>
            <w:tcBorders>
              <w:top w:val="nil"/>
              <w:left w:val="nil"/>
              <w:bottom w:val="nil"/>
              <w:right w:val="single" w:color="000000" w:sz="4" w:space="0"/>
            </w:tcBorders>
            <w:shd w:val="clear" w:color="auto" w:fill="auto"/>
            <w:vAlign w:val="center"/>
          </w:tcPr>
          <w:p>
            <w:pPr>
              <w:rPr>
                <w:rFonts w:hint="default" w:ascii="Times New Roman" w:hAnsi="Times New Roman"/>
                <w:sz w:val="20"/>
                <w:szCs w:val="20"/>
              </w:rPr>
            </w:pP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比赛场次</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397"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1"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continue"/>
            <w:tcBorders>
              <w:top w:val="nil"/>
              <w:left w:val="nil"/>
              <w:bottom w:val="nil"/>
              <w:right w:val="single" w:color="000000" w:sz="4" w:space="0"/>
            </w:tcBorders>
            <w:shd w:val="clear" w:color="auto" w:fill="auto"/>
            <w:vAlign w:val="center"/>
          </w:tcPr>
          <w:p>
            <w:pPr>
              <w:rPr>
                <w:rFonts w:hint="default" w:ascii="Times New Roman" w:hAnsi="Times New Roman"/>
                <w:sz w:val="20"/>
                <w:szCs w:val="20"/>
              </w:rPr>
            </w:pP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覆盖人数</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1394"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1"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restart"/>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质量指标</w:t>
            </w: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知识竞赛进入决赛选手，决赛中12名个人选手9名通关，显示了较高的比赛质量，最终产生参赛选手5名，参赛替补选手2人。比赛质量较高。</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435"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1"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continue"/>
            <w:tcBorders>
              <w:top w:val="single" w:color="000000" w:sz="4" w:space="0"/>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评选出学习强国总积分50强</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414"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1"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continue"/>
            <w:tcBorders>
              <w:top w:val="single" w:color="000000" w:sz="4" w:space="0"/>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评选出学习强国年度积分50强</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1411"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1"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效益指标</w:t>
            </w:r>
          </w:p>
        </w:tc>
        <w:tc>
          <w:tcPr>
            <w:tcW w:w="1420"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社会效益指标</w:t>
            </w: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活动广泛动员14县（市）区、4个开发（度假）区和7个派出工委，超过500个单位开展知识竞赛、学习强国线上学习、学习强国线上答题。</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450"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1"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可持续影响指标</w:t>
            </w: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“学习强国”学习平台的使用率</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w:t>
            </w:r>
          </w:p>
        </w:tc>
      </w:tr>
      <w:tr>
        <w:tblPrEx>
          <w:tblCellMar>
            <w:top w:w="0" w:type="dxa"/>
            <w:left w:w="108" w:type="dxa"/>
            <w:bottom w:w="0" w:type="dxa"/>
            <w:right w:w="108" w:type="dxa"/>
          </w:tblCellMar>
        </w:tblPrEx>
        <w:trPr>
          <w:trHeight w:val="719"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1"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学习强国挑战答题、双人对战答题水平</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w:t>
            </w:r>
          </w:p>
        </w:tc>
      </w:tr>
      <w:tr>
        <w:tblPrEx>
          <w:tblCellMar>
            <w:top w:w="0" w:type="dxa"/>
            <w:left w:w="108" w:type="dxa"/>
            <w:bottom w:w="0" w:type="dxa"/>
            <w:right w:w="108" w:type="dxa"/>
          </w:tblCellMar>
        </w:tblPrEx>
        <w:trPr>
          <w:trHeight w:val="629"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满意度</w:t>
            </w:r>
            <w:r>
              <w:rPr>
                <w:rFonts w:cs="宋体"/>
                <w:sz w:val="22"/>
                <w:szCs w:val="22"/>
              </w:rPr>
              <w:br w:type="textWrapping"/>
            </w:r>
            <w:r>
              <w:rPr>
                <w:rFonts w:cs="宋体"/>
                <w:sz w:val="22"/>
                <w:szCs w:val="22"/>
              </w:rPr>
              <w:t>指标</w:t>
            </w:r>
          </w:p>
        </w:tc>
        <w:tc>
          <w:tcPr>
            <w:tcW w:w="1420"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服务对象满意度指标</w:t>
            </w:r>
          </w:p>
        </w:tc>
        <w:tc>
          <w:tcPr>
            <w:tcW w:w="380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参赛单位、公众满意度</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629" w:hRule="atLeast"/>
        </w:trPr>
        <w:tc>
          <w:tcPr>
            <w:tcW w:w="7352" w:type="dxa"/>
            <w:gridSpan w:val="4"/>
            <w:tcBorders>
              <w:top w:val="nil"/>
              <w:left w:val="single" w:color="000000" w:sz="4" w:space="0"/>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合计：</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98</w:t>
            </w:r>
          </w:p>
        </w:tc>
      </w:tr>
    </w:tbl>
    <w:p>
      <w:pPr>
        <w:snapToGrid w:val="0"/>
        <w:spacing w:line="600" w:lineRule="exact"/>
        <w:jc w:val="both"/>
        <w:rPr>
          <w:rFonts w:hint="default" w:ascii="黑体" w:eastAsia="黑体" w:cs="黑体"/>
          <w:sz w:val="32"/>
          <w:szCs w:val="32"/>
        </w:rPr>
      </w:pPr>
      <w:r>
        <w:rPr>
          <w:rFonts w:ascii="仿宋_GB2312" w:eastAsia="仿宋_GB2312" w:cs="仿宋_GB2312"/>
          <w:sz w:val="32"/>
          <w:szCs w:val="32"/>
        </w:rPr>
        <w:t xml:space="preserve">   </w:t>
      </w:r>
      <w:r>
        <w:rPr>
          <w:rFonts w:ascii="黑体" w:eastAsia="黑体" w:cs="黑体"/>
          <w:sz w:val="32"/>
          <w:szCs w:val="32"/>
        </w:rPr>
        <w:t>四、成本效益分析</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1.项目的经济性分析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在项目成本（预算）控制方面，主要从技术开发、活动宣传、推广、征集作品奖金等方面来控制，对项目相关的费用逐一列项，严格审查，在保证项目正常实施的情况下，节约各项开支。</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2.项目支出结构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80%费用投入场地租赁、布置、奖品购买、平板电脑租赁，20%的费用用于专家评审劳务费等。</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3.项目有效性分析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中共昆明市委宣传部下发的《关于组织举办第三届昆明市“学习强国·学习达人”学习竞赛的通知》，各县（市）区委宣传部、各开发（度假）区党工委工作部、市委各派出党工委自行组织选拔赛，遴选优秀选手组建1支代表队，全市共组建24支代表队。于2022年5月6日至5月7日在昆明市新闻中心举行比赛，首先进行的是资格赛，其次是淘汰赛，最终有12位个人赛选手、10支团体赛队伍进入决赛。经过激烈的比拼最终评选出个人赛一等奖1个、二等奖4个、三等奖7个，团体赛一等奖1个、二等奖3个、三等奖6个。</w:t>
      </w:r>
    </w:p>
    <w:p>
      <w:pPr>
        <w:spacing w:line="600" w:lineRule="exact"/>
        <w:jc w:val="both"/>
        <w:rPr>
          <w:rFonts w:hint="default" w:ascii="仿宋" w:hAnsi="仿宋" w:eastAsia="仿宋" w:cs="仿宋"/>
          <w:sz w:val="32"/>
          <w:szCs w:val="32"/>
        </w:rPr>
      </w:pPr>
      <w:r>
        <w:rPr>
          <w:rFonts w:ascii="仿宋" w:hAnsi="仿宋" w:eastAsia="仿宋" w:cs="仿宋"/>
          <w:sz w:val="32"/>
          <w:szCs w:val="32"/>
        </w:rPr>
        <w:t>市级决赛产生省级赛预备队选手，于省级赛前开展两轮累计7天的赛前脱产集训，于7月17日至28日期间脱产培训参加比赛。</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4.项目的可持续性分析</w:t>
      </w:r>
    </w:p>
    <w:p>
      <w:pPr>
        <w:spacing w:line="600" w:lineRule="exact"/>
        <w:jc w:val="both"/>
        <w:rPr>
          <w:rFonts w:hint="default" w:ascii="仿宋_GB2312" w:eastAsia="仿宋_GB2312" w:cs="仿宋_GB2312"/>
          <w:sz w:val="32"/>
          <w:szCs w:val="32"/>
        </w:rPr>
      </w:pPr>
      <w:r>
        <w:rPr>
          <w:rFonts w:ascii="仿宋" w:hAnsi="仿宋" w:eastAsia="仿宋" w:cs="仿宋"/>
          <w:sz w:val="32"/>
          <w:szCs w:val="32"/>
        </w:rPr>
        <w:t xml:space="preserve">    比赛充分调动大家使用学习强国APP的乐趣及频率。通过此项目的开展，形成你追我赶、比学赶超的学习氛围，有力引导了广大党员干部群众深入学习领会习近平总书记在党史学习教育动员大会上的重要讲话精神，做到学党史、悟思想、办实事、开新局。</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五、主要经验及做法、存在的问题和建议</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（一）主要经验及做法</w:t>
      </w:r>
    </w:p>
    <w:p>
      <w:pPr>
        <w:spacing w:line="600" w:lineRule="exact"/>
        <w:ind w:firstLine="640" w:firstLineChars="200"/>
        <w:jc w:val="both"/>
        <w:rPr>
          <w:rFonts w:hint="default" w:ascii="仿宋" w:hAnsi="仿宋" w:eastAsia="仿宋" w:cs="仿宋"/>
          <w:sz w:val="32"/>
          <w:szCs w:val="32"/>
        </w:rPr>
      </w:pPr>
      <w:r>
        <w:rPr>
          <w:rStyle w:val="61"/>
          <w:rFonts w:hint="eastAsia" w:ascii="仿宋" w:hAnsi="仿宋" w:eastAsia="仿宋" w:cs="仿宋"/>
          <w:sz w:val="32"/>
          <w:szCs w:val="32"/>
        </w:rPr>
        <w:t>第三届昆明市“学习强国·学习达人”学习竞赛，利用学习强国APP进行学习</w:t>
      </w:r>
      <w:r>
        <w:rPr>
          <w:rFonts w:ascii="仿宋" w:hAnsi="仿宋" w:eastAsia="仿宋" w:cs="仿宋"/>
          <w:sz w:val="32"/>
          <w:szCs w:val="32"/>
        </w:rPr>
        <w:t>，使得广大干部职工可以充分利用碎片化学习时间展开学习，做到随时随地学。线下复赛和决赛的方式，面对面、一对一的较量，紧张激烈，极大地激发了广大党员干部的学习热情，也倒逼广大党员干部在前期复习中扎扎实实复习和学习，确保了学习成效。</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学习强国学习达人的评比，则是一个长期学习的助推器。因为评比的年度积分和总积分，是日积月累形成的，而不是一朝一夕能够做到的，含金量很高。对学习达人的表彰，在全市树立了学习榜样，也推动了各个单位用好学习强国平台。</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（二）存在的问题</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比赛最终选出的优秀选手将进行组队，形成团队赛、个人赛推荐至云南省知识竞赛，但是临时调整搭配的团队还需形成一定的默契才能更好地冲刺省赛，在今后的比赛中应加强团队之间的配合。</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（三）建议和改进措施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对线下比赛的各位选手的考察应更加全面仔细。</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r>
        <w:rPr>
          <w:rFonts w:cs="宋体"/>
          <w:sz w:val="32"/>
          <w:szCs w:val="32"/>
        </w:rPr>
        <w:t xml:space="preserve"> </w:t>
      </w:r>
    </w:p>
    <w:p>
      <w:pPr>
        <w:overflowPunct w:val="0"/>
        <w:spacing w:line="600" w:lineRule="exact"/>
        <w:jc w:val="both"/>
        <w:rPr>
          <w:rFonts w:hint="default" w:cs="宋体"/>
          <w:sz w:val="32"/>
          <w:szCs w:val="32"/>
        </w:rPr>
      </w:pPr>
    </w:p>
    <w:p>
      <w:pPr>
        <w:overflowPunct w:val="0"/>
        <w:spacing w:line="600" w:lineRule="exact"/>
        <w:jc w:val="both"/>
        <w:rPr>
          <w:rFonts w:hint="default" w:cs="宋体"/>
          <w:sz w:val="32"/>
          <w:szCs w:val="32"/>
        </w:rPr>
      </w:pPr>
    </w:p>
    <w:p>
      <w:pPr>
        <w:overflowPunct w:val="0"/>
        <w:spacing w:line="600" w:lineRule="exact"/>
        <w:jc w:val="both"/>
        <w:rPr>
          <w:rFonts w:hint="default" w:ascii="楷体_GB2312" w:eastAsia="楷体_GB2312" w:cs="楷体_GB2312"/>
          <w:sz w:val="32"/>
          <w:szCs w:val="32"/>
        </w:rPr>
      </w:pPr>
      <w:r>
        <w:rPr>
          <w:rFonts w:cs="宋体"/>
          <w:sz w:val="32"/>
          <w:szCs w:val="32"/>
        </w:rPr>
        <w:t>项目五：</w:t>
      </w:r>
    </w:p>
    <w:p>
      <w:pPr>
        <w:spacing w:line="600" w:lineRule="exact"/>
        <w:jc w:val="center"/>
        <w:rPr>
          <w:rFonts w:hint="default" w:ascii="方正小标宋简体" w:hAnsi="方正小标宋简体" w:eastAsia="方正小标宋简体" w:cs="方正小标宋简体"/>
          <w:b/>
          <w:sz w:val="44"/>
          <w:szCs w:val="44"/>
        </w:rPr>
      </w:pPr>
      <w:r>
        <w:rPr>
          <w:rFonts w:ascii="方正小标宋简体" w:hAnsi="方正小标宋简体" w:eastAsia="方正小标宋简体" w:cs="方正小标宋简体"/>
          <w:sz w:val="44"/>
          <w:szCs w:val="44"/>
        </w:rPr>
        <w:t>2022</w:t>
      </w:r>
      <w:r>
        <w:rPr>
          <w:rFonts w:cs="宋体"/>
          <w:sz w:val="44"/>
          <w:szCs w:val="44"/>
        </w:rPr>
        <w:t>年省理论宣讲大赛参赛节目《振兴》排演经费项目支出绩效自评报告</w:t>
      </w:r>
    </w:p>
    <w:p>
      <w:pPr>
        <w:topLinePunct/>
        <w:spacing w:line="600" w:lineRule="exact"/>
        <w:ind w:firstLine="800" w:firstLineChars="250"/>
        <w:jc w:val="both"/>
        <w:rPr>
          <w:rFonts w:hint="default" w:ascii="仿宋_GB2312" w:eastAsia="仿宋_GB2312" w:cs="仿宋_GB2312"/>
          <w:sz w:val="32"/>
          <w:szCs w:val="32"/>
        </w:rPr>
      </w:pPr>
      <w:r>
        <w:rPr>
          <w:rFonts w:ascii="仿宋_GB2312" w:eastAsia="仿宋_GB2312" w:cs="仿宋_GB2312"/>
          <w:sz w:val="32"/>
          <w:szCs w:val="32"/>
        </w:rPr>
        <w:t xml:space="preserve"> </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一、项目基本情况</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（一）项目立项背景及目的</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根据省委宣传部《关于举办“砥砺奋进新征程 喜迎党的二十大——党的创新理论我来讲”理论宣讲大赛决赛活动的通知》要求，昆明市级比赛中脱颖而出的文艺类作品《振兴》入围。为在赛前全面提升《振兴》节目水准，争取在决赛中取得好成绩</w:t>
      </w:r>
      <w:r>
        <w:rPr>
          <w:rStyle w:val="61"/>
          <w:rFonts w:hint="eastAsia" w:ascii="仿宋" w:hAnsi="仿宋" w:eastAsia="仿宋" w:cs="仿宋"/>
          <w:sz w:val="32"/>
          <w:szCs w:val="32"/>
        </w:rPr>
        <w:t>。</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topLinePunct/>
        <w:spacing w:line="600" w:lineRule="exact"/>
        <w:ind w:firstLine="640" w:firstLineChars="200"/>
        <w:jc w:val="both"/>
        <w:rPr>
          <w:rFonts w:hint="default" w:ascii="仿宋" w:hAnsi="仿宋" w:eastAsia="仿宋" w:cs="仿宋"/>
          <w:sz w:val="32"/>
          <w:szCs w:val="32"/>
        </w:rPr>
      </w:pPr>
      <w:r>
        <w:rPr>
          <w:rStyle w:val="61"/>
          <w:rFonts w:hint="eastAsia" w:ascii="仿宋" w:hAnsi="仿宋" w:eastAsia="仿宋" w:cs="仿宋"/>
          <w:sz w:val="32"/>
          <w:szCs w:val="32"/>
        </w:rPr>
        <w:t>根据省委宣传部《关于举办“砥砺奋进新征程 喜迎党的二十大——党的创新理论我来讲”理论宣讲大赛决赛活动的通知》要求。邀请省级知名话剧演绎专家——国家二级演员、省话剧院张建国老师团队对该作品进行有针对性的指导，包括修改提升剧本，进行为期5天的赛前辅导排练，为期3天的随队到红河州蒙自市参赛指导。</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3.资金来源及使用情况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项目资金来源为建设学习型领导班子和意识形态经费，预算资金1.5万元全部用于活动支出。</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邀请省级知名话剧演绎专家，国家二级演员、省话剧院张建国老师团队对该作品进行有针对性的指导，包括修改提升剧本，进行为期5天的赛前辅导排练，为期3天的随队到红河州蒙自市参赛指导，并获得云南省理论宣讲大赛文艺类三等奖。</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1.总目标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为在赛前全面提升《振兴》节目水准，争取在决赛中取得好成绩</w:t>
      </w:r>
      <w:r>
        <w:rPr>
          <w:rStyle w:val="61"/>
          <w:rFonts w:hint="eastAsia" w:ascii="仿宋" w:hAnsi="仿宋" w:eastAsia="仿宋" w:cs="仿宋"/>
          <w:sz w:val="32"/>
          <w:szCs w:val="32"/>
        </w:rPr>
        <w:t>。</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对《振兴》的表演文本进行修改提升，对三位表演的演绎进行指导调整。</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二、绩效评价工作情况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本次绩效评价，全面了解项目决策、过程、产出和效益等情况，评价财政资金使用绩效，找出存在的问题和原因，提出建设性意见建议，进一步规范资金分配和使用，并将绩效评价结果作为编报下年预算、改进加强管理、完善政策的重要依据，进一步提高资金使用效益。</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1.前期调研</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调研,对相关文件的解读，根据绩效评价的基本原理、原则和项目特点，结合绩效目标，由绩效评价小组按确定的评价指标体系、评分标准、评价方法和相关的工作程序和步骤，在规定的时间节点内开展绩效评价工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2.绩效评价指标体系及工作方案的设计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绩效评价证据收集方法包括了研究、分析项目预算部门提供的相关文件；整理、汇总项目预算单位提供的项目资料、工作总结。根据上述方法，从项目的立项合理性，目标的明确性，预算的准确性和管理制度的合规性等方面，对评价对象进行绩效评价。</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(1)科学规范。绩效评价注重财政支出的经济性、效率性和有效性，严格执行规定的程序，采用定量与定性分析相结合的方法。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(2)公正公开。绩效评价客观、公正，标准统一、资料可靠，依法公开。</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(3)绩效相关。绩效评价针对具体支出及其产出绩效进行评价,结果清晰反映支出和产出绩效之间的紧密对应关系。</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spacing w:line="600" w:lineRule="exact"/>
        <w:ind w:firstLine="640" w:firstLineChars="200"/>
        <w:jc w:val="both"/>
        <w:rPr>
          <w:rFonts w:hint="default" w:ascii="仿宋_GB2312" w:eastAsia="仿宋_GB2312" w:cs="仿宋_GB2312"/>
          <w:sz w:val="32"/>
          <w:szCs w:val="32"/>
        </w:rPr>
      </w:pPr>
      <w:r>
        <w:rPr>
          <w:rFonts w:ascii="仿宋" w:hAnsi="仿宋" w:eastAsia="仿宋" w:cs="仿宋"/>
          <w:sz w:val="32"/>
          <w:szCs w:val="32"/>
        </w:rPr>
        <w:t>本次主要采用因素分析法，采取数据对比，标准和抽样调查相结合，同时辅以问卷抽查、资料研究等方法。</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（四）绩效评价实施过程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中华人民共和国预算法》《昆明市预算绩效管理暂行办法》（昆政办〔2013〕129号）等有关规定，结合部门职能职责，对照项目目标和实际完成情况，由单位分管领导牵头，各项目实施部门具体负责项目评价工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绩效评价围绕绩效目标的设定、资金投入和使用、为实现绩效目标制定的制度、采取的措施、绩效目标的实现程度及效果等方面内容开展自评。</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（五）本次绩效评价的局限性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本次项目评价由具体执行部门进行，依靠财政等有关部门和单位的指导，评价专业性不够，具有一定的局限性。</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三、评价结论和绩效分析</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项目绩效目标根据部门绩效目标制定，真实有效地反映了部门的职能，并且绩效可考核。项目资金使用有效合理，有严格的财务及内控制度把关，没有超出预算范围使用的情况发生。项目绩效指标及时完成并且完成情况良好。</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在赛前全面提升《振兴》节目水准，争取在决赛中取得好成绩。</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（二）具体绩效分析</w:t>
      </w:r>
    </w:p>
    <w:tbl>
      <w:tblPr>
        <w:tblStyle w:val="16"/>
        <w:tblW w:w="0" w:type="auto"/>
        <w:tblInd w:w="93" w:type="dxa"/>
        <w:tblLayout w:type="fixed"/>
        <w:tblCellMar>
          <w:top w:w="0" w:type="dxa"/>
          <w:left w:w="108" w:type="dxa"/>
          <w:bottom w:w="0" w:type="dxa"/>
          <w:right w:w="108" w:type="dxa"/>
        </w:tblCellMar>
      </w:tblPr>
      <w:tblGrid>
        <w:gridCol w:w="786"/>
        <w:gridCol w:w="1340"/>
        <w:gridCol w:w="1420"/>
        <w:gridCol w:w="3807"/>
        <w:gridCol w:w="945"/>
      </w:tblGrid>
      <w:tr>
        <w:tblPrEx>
          <w:tblCellMar>
            <w:top w:w="0" w:type="dxa"/>
            <w:left w:w="108" w:type="dxa"/>
            <w:bottom w:w="0" w:type="dxa"/>
            <w:right w:w="108" w:type="dxa"/>
          </w:tblCellMar>
        </w:tblPrEx>
        <w:trPr>
          <w:trHeight w:val="567" w:hRule="atLeast"/>
        </w:trPr>
        <w:tc>
          <w:tcPr>
            <w:tcW w:w="786" w:type="dxa"/>
            <w:vMerge w:val="restart"/>
            <w:tcBorders>
              <w:top w:val="single" w:color="000000" w:sz="4" w:space="0"/>
              <w:left w:val="single" w:color="000000" w:sz="4" w:space="0"/>
              <w:bottom w:val="nil"/>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绩</w:t>
            </w:r>
            <w:r>
              <w:rPr>
                <w:rFonts w:cs="宋体"/>
                <w:sz w:val="22"/>
                <w:szCs w:val="22"/>
              </w:rPr>
              <w:br w:type="textWrapping"/>
            </w:r>
            <w:r>
              <w:rPr>
                <w:rFonts w:cs="宋体"/>
                <w:sz w:val="22"/>
                <w:szCs w:val="22"/>
              </w:rPr>
              <w:t>效</w:t>
            </w:r>
            <w:r>
              <w:rPr>
                <w:rFonts w:cs="宋体"/>
                <w:sz w:val="22"/>
                <w:szCs w:val="22"/>
              </w:rPr>
              <w:br w:type="textWrapping"/>
            </w:r>
            <w:r>
              <w:rPr>
                <w:rFonts w:cs="宋体"/>
                <w:sz w:val="22"/>
                <w:szCs w:val="22"/>
              </w:rPr>
              <w:t>指</w:t>
            </w:r>
            <w:r>
              <w:rPr>
                <w:rFonts w:cs="宋体"/>
                <w:sz w:val="22"/>
                <w:szCs w:val="22"/>
              </w:rPr>
              <w:br w:type="textWrapping"/>
            </w:r>
            <w:r>
              <w:rPr>
                <w:rFonts w:cs="宋体"/>
                <w:sz w:val="22"/>
                <w:szCs w:val="22"/>
              </w:rPr>
              <w:t>标</w:t>
            </w:r>
          </w:p>
        </w:tc>
        <w:tc>
          <w:tcPr>
            <w:tcW w:w="1340"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一级指标</w:t>
            </w:r>
          </w:p>
        </w:tc>
        <w:tc>
          <w:tcPr>
            <w:tcW w:w="1420"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二级指标</w:t>
            </w:r>
          </w:p>
        </w:tc>
        <w:tc>
          <w:tcPr>
            <w:tcW w:w="3807"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三级指标</w:t>
            </w:r>
          </w:p>
        </w:tc>
        <w:tc>
          <w:tcPr>
            <w:tcW w:w="94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得分</w:t>
            </w:r>
          </w:p>
        </w:tc>
      </w:tr>
      <w:tr>
        <w:tblPrEx>
          <w:tblCellMar>
            <w:top w:w="0" w:type="dxa"/>
            <w:left w:w="108" w:type="dxa"/>
            <w:bottom w:w="0" w:type="dxa"/>
            <w:right w:w="108" w:type="dxa"/>
          </w:tblCellMar>
        </w:tblPrEx>
        <w:trPr>
          <w:trHeight w:val="506"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0"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产出指标</w:t>
            </w:r>
          </w:p>
        </w:tc>
        <w:tc>
          <w:tcPr>
            <w:tcW w:w="1420"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数量指标</w:t>
            </w:r>
          </w:p>
        </w:tc>
        <w:tc>
          <w:tcPr>
            <w:tcW w:w="3807"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排练指导老师</w:t>
            </w:r>
          </w:p>
        </w:tc>
        <w:tc>
          <w:tcPr>
            <w:tcW w:w="94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12</w:t>
            </w:r>
          </w:p>
        </w:tc>
      </w:tr>
      <w:tr>
        <w:tblPrEx>
          <w:tblCellMar>
            <w:top w:w="0" w:type="dxa"/>
            <w:left w:w="108" w:type="dxa"/>
            <w:bottom w:w="0" w:type="dxa"/>
            <w:right w:w="108" w:type="dxa"/>
          </w:tblCellMar>
        </w:tblPrEx>
        <w:trPr>
          <w:trHeight w:val="506"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0"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07"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排练天数</w:t>
            </w:r>
          </w:p>
        </w:tc>
        <w:tc>
          <w:tcPr>
            <w:tcW w:w="94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12</w:t>
            </w:r>
          </w:p>
        </w:tc>
      </w:tr>
      <w:tr>
        <w:tblPrEx>
          <w:tblCellMar>
            <w:top w:w="0" w:type="dxa"/>
            <w:left w:w="108" w:type="dxa"/>
            <w:bottom w:w="0" w:type="dxa"/>
            <w:right w:w="108" w:type="dxa"/>
          </w:tblCellMar>
        </w:tblPrEx>
        <w:trPr>
          <w:trHeight w:val="626"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0"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07"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录制节目视频</w:t>
            </w:r>
          </w:p>
        </w:tc>
        <w:tc>
          <w:tcPr>
            <w:tcW w:w="94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12</w:t>
            </w:r>
          </w:p>
        </w:tc>
      </w:tr>
      <w:tr>
        <w:tblPrEx>
          <w:tblCellMar>
            <w:top w:w="0" w:type="dxa"/>
            <w:left w:w="108" w:type="dxa"/>
            <w:bottom w:w="0" w:type="dxa"/>
            <w:right w:w="108" w:type="dxa"/>
          </w:tblCellMar>
        </w:tblPrEx>
        <w:trPr>
          <w:trHeight w:val="626"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0"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质量指标</w:t>
            </w:r>
          </w:p>
        </w:tc>
        <w:tc>
          <w:tcPr>
            <w:tcW w:w="3807"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背景视频及音效设计制作</w:t>
            </w:r>
          </w:p>
        </w:tc>
        <w:tc>
          <w:tcPr>
            <w:tcW w:w="94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12</w:t>
            </w:r>
          </w:p>
        </w:tc>
      </w:tr>
      <w:tr>
        <w:tblPrEx>
          <w:tblCellMar>
            <w:top w:w="0" w:type="dxa"/>
            <w:left w:w="108" w:type="dxa"/>
            <w:bottom w:w="0" w:type="dxa"/>
            <w:right w:w="108" w:type="dxa"/>
          </w:tblCellMar>
        </w:tblPrEx>
        <w:trPr>
          <w:trHeight w:val="506"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0"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07"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剧本修改</w:t>
            </w:r>
          </w:p>
        </w:tc>
        <w:tc>
          <w:tcPr>
            <w:tcW w:w="94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12</w:t>
            </w:r>
          </w:p>
        </w:tc>
      </w:tr>
      <w:tr>
        <w:tblPrEx>
          <w:tblCellMar>
            <w:top w:w="0" w:type="dxa"/>
            <w:left w:w="108" w:type="dxa"/>
            <w:bottom w:w="0" w:type="dxa"/>
            <w:right w:w="108" w:type="dxa"/>
          </w:tblCellMar>
        </w:tblPrEx>
        <w:trPr>
          <w:trHeight w:val="1027"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0"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效益指标</w:t>
            </w:r>
          </w:p>
        </w:tc>
        <w:tc>
          <w:tcPr>
            <w:tcW w:w="1420"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社会效益指标</w:t>
            </w:r>
          </w:p>
        </w:tc>
        <w:tc>
          <w:tcPr>
            <w:tcW w:w="3807"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带动各县市区、开发（度假）区创新理论宣讲</w:t>
            </w:r>
          </w:p>
        </w:tc>
        <w:tc>
          <w:tcPr>
            <w:tcW w:w="94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15</w:t>
            </w:r>
          </w:p>
        </w:tc>
      </w:tr>
      <w:tr>
        <w:tblPrEx>
          <w:tblCellMar>
            <w:top w:w="0" w:type="dxa"/>
            <w:left w:w="108" w:type="dxa"/>
            <w:bottom w:w="0" w:type="dxa"/>
            <w:right w:w="108" w:type="dxa"/>
          </w:tblCellMar>
        </w:tblPrEx>
        <w:trPr>
          <w:trHeight w:val="676"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0"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0" w:type="dxa"/>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可持续影响</w:t>
            </w:r>
            <w:r>
              <w:rPr>
                <w:rFonts w:cs="宋体"/>
                <w:sz w:val="22"/>
                <w:szCs w:val="22"/>
              </w:rPr>
              <w:br w:type="textWrapping"/>
            </w:r>
            <w:r>
              <w:rPr>
                <w:rFonts w:cs="宋体"/>
                <w:sz w:val="22"/>
                <w:szCs w:val="22"/>
              </w:rPr>
              <w:t>指标</w:t>
            </w:r>
          </w:p>
        </w:tc>
        <w:tc>
          <w:tcPr>
            <w:tcW w:w="3807"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宣讲节目视频的可持续带动作用</w:t>
            </w:r>
          </w:p>
        </w:tc>
        <w:tc>
          <w:tcPr>
            <w:tcW w:w="94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15</w:t>
            </w:r>
          </w:p>
        </w:tc>
      </w:tr>
      <w:tr>
        <w:tblPrEx>
          <w:tblCellMar>
            <w:top w:w="0" w:type="dxa"/>
            <w:left w:w="108" w:type="dxa"/>
            <w:bottom w:w="0" w:type="dxa"/>
            <w:right w:w="108" w:type="dxa"/>
          </w:tblCellMar>
        </w:tblPrEx>
        <w:trPr>
          <w:trHeight w:val="836" w:hRule="atLeast"/>
        </w:trPr>
        <w:tc>
          <w:tcPr>
            <w:tcW w:w="786"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0"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满意度</w:t>
            </w:r>
            <w:r>
              <w:rPr>
                <w:rFonts w:cs="宋体"/>
                <w:sz w:val="22"/>
                <w:szCs w:val="22"/>
              </w:rPr>
              <w:br w:type="textWrapping"/>
            </w:r>
            <w:r>
              <w:rPr>
                <w:rFonts w:cs="宋体"/>
                <w:sz w:val="22"/>
                <w:szCs w:val="22"/>
              </w:rPr>
              <w:t>指标</w:t>
            </w:r>
          </w:p>
        </w:tc>
        <w:tc>
          <w:tcPr>
            <w:tcW w:w="1420"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服务对象满意度指标</w:t>
            </w:r>
          </w:p>
        </w:tc>
        <w:tc>
          <w:tcPr>
            <w:tcW w:w="3807"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参赛单位、大赛评审专家满意度</w:t>
            </w:r>
          </w:p>
        </w:tc>
        <w:tc>
          <w:tcPr>
            <w:tcW w:w="94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8</w:t>
            </w:r>
          </w:p>
        </w:tc>
      </w:tr>
      <w:tr>
        <w:tblPrEx>
          <w:tblCellMar>
            <w:top w:w="0" w:type="dxa"/>
            <w:left w:w="108" w:type="dxa"/>
            <w:bottom w:w="0" w:type="dxa"/>
            <w:right w:w="108" w:type="dxa"/>
          </w:tblCellMar>
        </w:tblPrEx>
        <w:trPr>
          <w:trHeight w:val="836" w:hRule="atLeast"/>
        </w:trPr>
        <w:tc>
          <w:tcPr>
            <w:tcW w:w="7353" w:type="dxa"/>
            <w:gridSpan w:val="4"/>
            <w:tcBorders>
              <w:top w:val="nil"/>
              <w:left w:val="single" w:color="000000" w:sz="4" w:space="0"/>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合计：</w:t>
            </w:r>
          </w:p>
        </w:tc>
        <w:tc>
          <w:tcPr>
            <w:tcW w:w="945"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98</w:t>
            </w:r>
          </w:p>
        </w:tc>
      </w:tr>
    </w:tbl>
    <w:p>
      <w:pPr>
        <w:spacing w:line="600" w:lineRule="exact"/>
        <w:ind w:firstLine="640" w:firstLineChars="200"/>
        <w:jc w:val="both"/>
        <w:rPr>
          <w:rFonts w:hint="default" w:ascii="黑体" w:eastAsia="黑体" w:cs="黑体"/>
          <w:sz w:val="32"/>
          <w:szCs w:val="32"/>
        </w:rPr>
      </w:pPr>
      <w:r>
        <w:rPr>
          <w:rFonts w:ascii="黑体" w:eastAsia="黑体" w:cs="黑体"/>
          <w:sz w:val="32"/>
          <w:szCs w:val="32"/>
        </w:rPr>
        <w:t xml:space="preserve">四、成本效益分析 </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1.项目的经济性分析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在项目成本（预算）控制方面，主要从指导团队劳务费、服装道具租赁、化妆师劳务费等方面来控制，对项目相关的费用逐一列项，严格审查，在保证项目正常实施的情况下，节约各项开支。</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2.项目支出结构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80%费用投入指导团队劳务费，20%的费用服装道具租赁、化妆师劳务费等。</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3.项目有效性分析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项目有效提升了作品《振兴》的文本水平和演绎水准。</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4.项目的可持续性分析</w:t>
      </w:r>
    </w:p>
    <w:p>
      <w:pPr>
        <w:spacing w:line="600" w:lineRule="exact"/>
        <w:jc w:val="both"/>
        <w:rPr>
          <w:rFonts w:hint="default" w:ascii="仿宋" w:hAnsi="仿宋" w:eastAsia="仿宋" w:cs="仿宋"/>
          <w:sz w:val="32"/>
          <w:szCs w:val="32"/>
        </w:rPr>
      </w:pPr>
      <w:r>
        <w:rPr>
          <w:rFonts w:ascii="仿宋" w:hAnsi="仿宋" w:eastAsia="仿宋" w:cs="仿宋"/>
          <w:sz w:val="32"/>
          <w:szCs w:val="32"/>
        </w:rPr>
        <w:t xml:space="preserve">    未来入围云南省理论宣讲大赛的作品，也可以邀请专业指导团队对作品的文本和演绎做提升。</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五、主要经验及做法、存在的问题和建议</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（一）主要经验及做法</w:t>
      </w:r>
    </w:p>
    <w:p>
      <w:pPr>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本次排演</w:t>
      </w:r>
      <w:r>
        <w:rPr>
          <w:rStyle w:val="61"/>
          <w:rFonts w:hint="eastAsia" w:ascii="仿宋" w:hAnsi="仿宋" w:eastAsia="仿宋" w:cs="仿宋"/>
          <w:sz w:val="32"/>
          <w:szCs w:val="32"/>
        </w:rPr>
        <w:t>邀请省级知名话剧演绎专家——国家二级演员、省话剧院张建国老师团队对入围云南省理论宣讲大赛作品《振兴》进行有针对性的指导</w:t>
      </w:r>
      <w:r>
        <w:rPr>
          <w:rFonts w:ascii="仿宋" w:hAnsi="仿宋" w:eastAsia="仿宋" w:cs="仿宋"/>
          <w:sz w:val="32"/>
          <w:szCs w:val="32"/>
        </w:rPr>
        <w:t>。修改剧本、指导表演，使该作品的整体质量得以提升。</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（二）存在的问题</w:t>
      </w:r>
    </w:p>
    <w:p>
      <w:pPr>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表演内容与创新理论的结合还不足。</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（三）改进措施及建议</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应该加强创新理论与表演文本的结合，使作品与比赛内容更加贴合。</w:t>
      </w:r>
    </w:p>
    <w:p>
      <w:pPr>
        <w:pStyle w:val="15"/>
        <w:jc w:val="both"/>
        <w:rPr>
          <w:rFonts w:ascii="楷体_GB2312" w:eastAsia="楷体_GB2312" w:cs="楷体_GB2312"/>
        </w:rPr>
      </w:pPr>
      <w:r>
        <w:rPr>
          <w:rFonts w:ascii="楷体_GB2312" w:eastAsia="楷体_GB2312" w:cs="楷体_GB231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pStyle w:val="15"/>
        <w:jc w:val="both"/>
        <w:rPr>
          <w:rFonts w:ascii="楷体_GB2312" w:eastAsia="楷体_GB2312" w:cs="楷体_GB2312"/>
        </w:rPr>
      </w:pPr>
      <w:r>
        <w:rPr>
          <w:rFonts w:ascii="楷体_GB2312" w:eastAsia="楷体_GB2312" w:cs="楷体_GB231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pStyle w:val="15"/>
        <w:jc w:val="both"/>
        <w:rPr>
          <w:rFonts w:ascii="楷体_GB2312" w:eastAsia="楷体_GB2312" w:cs="楷体_GB2312"/>
        </w:rPr>
      </w:pPr>
      <w:r>
        <w:rPr>
          <w:rFonts w:ascii="楷体_GB2312" w:eastAsia="楷体_GB2312" w:cs="楷体_GB2312"/>
        </w:rPr>
        <w:t xml:space="preserve"> </w:t>
      </w:r>
    </w:p>
    <w:p>
      <w:pPr>
        <w:spacing w:line="600" w:lineRule="exact"/>
        <w:jc w:val="both"/>
        <w:rPr>
          <w:rFonts w:hint="default" w:cs="宋体"/>
          <w:sz w:val="32"/>
          <w:szCs w:val="32"/>
        </w:rPr>
      </w:pPr>
    </w:p>
    <w:p>
      <w:pPr>
        <w:spacing w:line="600" w:lineRule="exact"/>
        <w:jc w:val="both"/>
        <w:rPr>
          <w:rFonts w:hint="default" w:cs="宋体"/>
          <w:sz w:val="32"/>
          <w:szCs w:val="32"/>
        </w:rPr>
      </w:pPr>
    </w:p>
    <w:p>
      <w:pPr>
        <w:spacing w:line="600" w:lineRule="exact"/>
        <w:jc w:val="both"/>
        <w:rPr>
          <w:rFonts w:hint="default" w:cs="宋体"/>
          <w:sz w:val="32"/>
          <w:szCs w:val="32"/>
        </w:rPr>
      </w:pPr>
    </w:p>
    <w:p>
      <w:pPr>
        <w:spacing w:line="600" w:lineRule="exact"/>
        <w:jc w:val="both"/>
        <w:rPr>
          <w:rFonts w:hint="default" w:cs="宋体"/>
          <w:sz w:val="32"/>
          <w:szCs w:val="32"/>
        </w:rPr>
      </w:pPr>
    </w:p>
    <w:p>
      <w:pPr>
        <w:spacing w:line="600" w:lineRule="exact"/>
        <w:jc w:val="both"/>
        <w:rPr>
          <w:rFonts w:hint="default" w:cs="宋体"/>
          <w:sz w:val="32"/>
          <w:szCs w:val="32"/>
        </w:rPr>
      </w:pPr>
    </w:p>
    <w:p>
      <w:pPr>
        <w:spacing w:line="600" w:lineRule="exact"/>
        <w:jc w:val="both"/>
        <w:rPr>
          <w:rFonts w:hint="default" w:ascii="方正小标宋简体" w:hAnsi="方正小标宋简体" w:eastAsia="方正小标宋简体" w:cs="方正小标宋简体"/>
          <w:sz w:val="32"/>
          <w:szCs w:val="32"/>
        </w:rPr>
      </w:pPr>
      <w:r>
        <w:rPr>
          <w:rFonts w:cs="宋体"/>
          <w:sz w:val="32"/>
          <w:szCs w:val="32"/>
        </w:rPr>
        <w:t>项目六：</w:t>
      </w:r>
    </w:p>
    <w:p>
      <w:pPr>
        <w:spacing w:line="600" w:lineRule="exact"/>
        <w:jc w:val="center"/>
        <w:rPr>
          <w:rFonts w:hint="default" w:ascii="黑体" w:eastAsia="黑体" w:cs="黑体"/>
          <w:sz w:val="44"/>
          <w:szCs w:val="44"/>
        </w:rPr>
      </w:pPr>
      <w:r>
        <w:rPr>
          <w:rFonts w:cs="宋体"/>
          <w:sz w:val="44"/>
          <w:szCs w:val="44"/>
        </w:rPr>
        <w:t>第三届春城飞花令项目支出绩效自评报告</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 xml:space="preserve"> </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一、项目基本情况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（一）项目概况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“繁花锦灿 浪漫春城”——2022第三届“春城飞花令”活动，以花为媒，邀请市民、正能量网红、知乎优质作者，共拍、共话、共享春城的鲜花魅力，充分挖掘昆明作为“中国春城”“历史文化名城”深厚文化底蕴，展现城内丰富多彩的文化业态、文化功能，进一步彰显昆明城市特色，提升昆明城市品质，增强昆明文化吸引力，深度解锁、体验中国春城的城市气质、感染力，展现昆明新面貌、新形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昆明市首个全民拍花大型城市活动——“春城飞花令”，在前两届活动人气爆棚、成功举办的基础上，第三届活动将进一步丰富升级，除有奖花拍征集外，将推出全新系列短视频“令起春城舞花间”，热力推荐昆明赏花热门打卡地，以舞相祝、以舞相咏，传递美好生活的如花愿景；并创意性地将获奖作品衍生为花艺艺术装置，进行集中、可持续、合拍打卡的互动式展出，打造全新的城市花主题互动网红IP。</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2020年3月，中共昆明市委宣传部举办了首届春城飞花令。活动邀请市民拍花赏花的同时，将照片、短视频、绘画作品上传到“春城飞花令”小程序，生成“春城飞花令”主题海报在朋友圈分享，争相成为第x位飞花使者，形成社交裂变式传播，全民推荐春城魅力。前两届活动累计吸引25万市民投稿，征集到17000余件作品。</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活动吸引13万市民拍花传令，征集到投稿5000余件，经专家评审出24件等级奖作品和150件优秀奖作品，并在省政府新闻办召开“5.22国际生物多样性日系列主题发布会”春城飞花令活动作为活动之一，向社会发布。发布会上，省新闻办、省宣领导对春城飞花令——“令起春城舞花间”系列短视频高度肯定，并要求全省媒体转发，掀起关注热潮。“令起春城舞花间”系列短视频收获广泛好评，被人民网、中国日报、北京日报、澎湃新闻、云南省文旅厅、游云南、学习强国、新浪、网易等多平台转发。其中，蓝花楹、海菜花单期视频全网转发量100万+；绣球花海短视频被学习强国总网转发，播放量35.6万+。总体而言，活动在参与互动、宣传推广方面取得了广泛、良好的社会效益，受到省级宣传部门和市民的广泛好评，有效地提升了活动品牌影响力。</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3.资金来源及使用情况</w:t>
      </w:r>
    </w:p>
    <w:p>
      <w:pPr>
        <w:pStyle w:val="8"/>
        <w:spacing w:line="600" w:lineRule="exact"/>
        <w:ind w:firstLine="640"/>
        <w:rPr>
          <w:rFonts w:ascii="仿宋" w:hAnsi="仿宋" w:eastAsia="仿宋" w:cs="仿宋"/>
          <w:sz w:val="32"/>
          <w:szCs w:val="32"/>
        </w:rPr>
      </w:pPr>
      <w:r>
        <w:rPr>
          <w:rFonts w:hint="eastAsia" w:ascii="仿宋" w:hAnsi="仿宋" w:eastAsia="仿宋" w:cs="仿宋"/>
          <w:sz w:val="32"/>
          <w:szCs w:val="32"/>
        </w:rPr>
        <w:t>项目获得2022年度昆明市文艺精品创作专项扶持资金资助项目资金补助29.37万元，用于活动专属小程序“春城飞花令”的技术升级、运维保障，“令起春城舞花间”系列短视频拍摄制作、奖金发放、线下颁奖礼和活动、活动品牌影响力打造方面。</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（1）资金计划、到位及使用情况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本项目资金来源为2022年度昆明市文艺精品创作专项扶持资金资助项目资金补助，共计29.37万元。</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 xml:space="preserve">本项目资金于2022年10月到位29.37万元，为确保财政预算资金有效合理使用，提高资金使用效率，该项目资金实行专款专用。 </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截至自查时间节点，项目资金实际支出情况为已按照财务流程和相关监管要求，支出线上技术开发费用、奖金费用、令起春城舞花间演员拍摄、评审、宣传推广的费用。</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（2）项目财务管理情况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支出均有相关的授权审批，资金拨付严格审批程序，使用规范，会计核算结果真实、准确，未发现有截留、挤占或挪用项目资金的情况，用于线上技术开发费用、奖金费用、令起春城舞花间演员拍摄、评审、宣传推广的费用。</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（3）项目组织实施情况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为确保项目保质保量地完成，项目严格按照操作程序实施项目管理。一是自觉接受上级部门、社会监督，提高项目质量。二是加强技术指导，进行项目日常自检管理。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严格按照相关规定，成立活动专门小组，设组长、副组长，分别牵头管理活动执行、技术开发、短视频制作、活动推广等工作。资金拨付严格按照财政资金管理、使用流程，支付线上技术开发费用、奖金费用、令起春城舞花间演员拍摄、评审、宣传推广的费用。</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1.总目标</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深入贯彻习近平新时代中国特色社会主义思想、习近平总书记考察云南重要讲话精神，以“擦亮历史文化名城亮丽名片 实施昆明市五个一批文化项目”为指导，结合昆明正加快中国春城、历史文化名城、国际大健康名城、区域性国际中心城市建设的要求，开展好“繁花锦灿 浪漫春城”——2022第三届“春城飞花令”活动，助推“中国春城”“历史文化名城”城市品牌更加深入人心，掀起全民、全网聚焦昆明花事的热潮。</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pStyle w:val="72"/>
        <w:spacing w:line="600" w:lineRule="exact"/>
        <w:rPr>
          <w:rFonts w:ascii="仿宋" w:hAnsi="仿宋" w:eastAsia="仿宋" w:cs="仿宋"/>
          <w:sz w:val="32"/>
          <w:szCs w:val="32"/>
        </w:rPr>
      </w:pPr>
      <w:r>
        <w:rPr>
          <w:rFonts w:hint="eastAsia" w:ascii="仿宋" w:hAnsi="仿宋" w:eastAsia="仿宋" w:cs="仿宋"/>
          <w:sz w:val="32"/>
          <w:szCs w:val="32"/>
        </w:rPr>
        <w:t xml:space="preserve">    作为昆明市首个全民拍花大型城市活动，本次活动在前两届活动人气爆棚、成功举办的基础上，将进一步丰富升级，除有奖花拍征集外，将推出全新系列短视频“令起春城舞花间”，热力推荐昆明赏花热门打卡地，以舞相祝、以舞相咏，传递美好生活的如花愿景。</w:t>
      </w:r>
    </w:p>
    <w:p>
      <w:pPr>
        <w:pStyle w:val="72"/>
        <w:rPr>
          <w:rFonts w:ascii="仿宋_GB2312" w:hAnsi="楷体" w:eastAsia="仿宋_GB2312" w:cs="仿宋_GB2312"/>
          <w:sz w:val="32"/>
          <w:szCs w:val="32"/>
        </w:rPr>
      </w:pPr>
      <w:r>
        <w:rPr>
          <w:rFonts w:hint="eastAsia" w:ascii="仿宋_GB2312" w:hAnsi="楷体" w:eastAsia="仿宋_GB2312" w:cs="仿宋_GB2312"/>
          <w:sz w:val="32"/>
          <w:szCs w:val="32"/>
        </w:rPr>
        <w:t xml:space="preserve"> </w:t>
      </w:r>
    </w:p>
    <w:tbl>
      <w:tblPr>
        <w:tblStyle w:val="16"/>
        <w:tblW w:w="0" w:type="auto"/>
        <w:tblInd w:w="372" w:type="dxa"/>
        <w:tblLayout w:type="fixed"/>
        <w:tblCellMar>
          <w:top w:w="0" w:type="dxa"/>
          <w:left w:w="0" w:type="dxa"/>
          <w:bottom w:w="0" w:type="dxa"/>
          <w:right w:w="0" w:type="dxa"/>
        </w:tblCellMar>
      </w:tblPr>
      <w:tblGrid>
        <w:gridCol w:w="725"/>
        <w:gridCol w:w="794"/>
        <w:gridCol w:w="1945"/>
        <w:gridCol w:w="3616"/>
        <w:gridCol w:w="1917"/>
      </w:tblGrid>
      <w:tr>
        <w:trPr>
          <w:trHeight w:val="1256" w:hRule="atLeast"/>
        </w:trPr>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绩</w:t>
            </w:r>
            <w:r>
              <w:rPr>
                <w:rFonts w:ascii="仿宋_GB2312" w:hAnsi="楷体" w:eastAsia="仿宋_GB2312" w:cs="仿宋_GB2312"/>
                <w:sz w:val="32"/>
                <w:szCs w:val="32"/>
              </w:rPr>
              <w:br w:type="textWrapping"/>
            </w:r>
            <w:r>
              <w:rPr>
                <w:rFonts w:cs="宋体"/>
                <w:sz w:val="32"/>
                <w:szCs w:val="32"/>
              </w:rPr>
              <w:t>效</w:t>
            </w:r>
            <w:r>
              <w:rPr>
                <w:rFonts w:ascii="仿宋_GB2312" w:hAnsi="楷体" w:eastAsia="仿宋_GB2312" w:cs="仿宋_GB2312"/>
                <w:sz w:val="32"/>
                <w:szCs w:val="32"/>
              </w:rPr>
              <w:br w:type="textWrapping"/>
            </w:r>
            <w:r>
              <w:rPr>
                <w:rFonts w:cs="宋体"/>
                <w:sz w:val="32"/>
                <w:szCs w:val="32"/>
              </w:rPr>
              <w:t>指</w:t>
            </w:r>
            <w:r>
              <w:rPr>
                <w:rFonts w:ascii="仿宋_GB2312" w:hAnsi="楷体" w:eastAsia="仿宋_GB2312" w:cs="仿宋_GB2312"/>
                <w:sz w:val="32"/>
                <w:szCs w:val="32"/>
              </w:rPr>
              <w:br w:type="textWrapping"/>
            </w:r>
            <w:r>
              <w:rPr>
                <w:rFonts w:cs="宋体"/>
                <w:sz w:val="32"/>
                <w:szCs w:val="32"/>
              </w:rPr>
              <w:t>标</w:t>
            </w:r>
          </w:p>
        </w:tc>
        <w:tc>
          <w:tcPr>
            <w:tcW w:w="79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一级</w:t>
            </w:r>
            <w:r>
              <w:rPr>
                <w:rFonts w:ascii="仿宋_GB2312" w:hAnsi="楷体" w:eastAsia="仿宋_GB2312" w:cs="仿宋_GB2312"/>
                <w:sz w:val="32"/>
                <w:szCs w:val="32"/>
              </w:rPr>
              <w:br w:type="textWrapping"/>
            </w:r>
            <w:r>
              <w:rPr>
                <w:rFonts w:cs="宋体"/>
                <w:sz w:val="32"/>
                <w:szCs w:val="32"/>
              </w:rPr>
              <w:t>指标</w:t>
            </w:r>
          </w:p>
        </w:tc>
        <w:tc>
          <w:tcPr>
            <w:tcW w:w="194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二级指标</w:t>
            </w: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三级指标</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指标值</w:t>
            </w:r>
          </w:p>
        </w:tc>
      </w:tr>
      <w:tr>
        <w:tblPrEx>
          <w:tblCellMar>
            <w:top w:w="0" w:type="dxa"/>
            <w:left w:w="0" w:type="dxa"/>
            <w:bottom w:w="0" w:type="dxa"/>
            <w:right w:w="0" w:type="dxa"/>
          </w:tblCellMar>
        </w:tblPrEx>
        <w:trPr>
          <w:trHeight w:val="853"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产</w:t>
            </w:r>
            <w:r>
              <w:rPr>
                <w:rFonts w:ascii="仿宋_GB2312" w:hAnsi="楷体" w:eastAsia="仿宋_GB2312" w:cs="仿宋_GB2312"/>
                <w:sz w:val="32"/>
                <w:szCs w:val="32"/>
              </w:rPr>
              <w:br w:type="textWrapping"/>
            </w:r>
            <w:r>
              <w:rPr>
                <w:rFonts w:cs="宋体"/>
                <w:sz w:val="32"/>
                <w:szCs w:val="32"/>
              </w:rPr>
              <w:t>出</w:t>
            </w:r>
            <w:r>
              <w:rPr>
                <w:rFonts w:ascii="仿宋_GB2312" w:hAnsi="楷体" w:eastAsia="仿宋_GB2312" w:cs="仿宋_GB2312"/>
                <w:sz w:val="32"/>
                <w:szCs w:val="32"/>
              </w:rPr>
              <w:br w:type="textWrapping"/>
            </w:r>
            <w:r>
              <w:rPr>
                <w:rFonts w:cs="宋体"/>
                <w:sz w:val="32"/>
                <w:szCs w:val="32"/>
              </w:rPr>
              <w:t>指</w:t>
            </w:r>
            <w:r>
              <w:rPr>
                <w:rFonts w:ascii="仿宋_GB2312" w:hAnsi="楷体" w:eastAsia="仿宋_GB2312" w:cs="仿宋_GB2312"/>
                <w:sz w:val="32"/>
                <w:szCs w:val="32"/>
              </w:rPr>
              <w:br w:type="textWrapping"/>
            </w:r>
            <w:r>
              <w:rPr>
                <w:rFonts w:cs="宋体"/>
                <w:sz w:val="32"/>
                <w:szCs w:val="32"/>
              </w:rPr>
              <w:t>标</w:t>
            </w:r>
          </w:p>
        </w:tc>
        <w:tc>
          <w:tcPr>
            <w:tcW w:w="1945"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数量指标</w:t>
            </w: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活动参与人次</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10w+</w:t>
            </w:r>
          </w:p>
        </w:tc>
      </w:tr>
      <w:tr>
        <w:tblPrEx>
          <w:tblCellMar>
            <w:top w:w="0" w:type="dxa"/>
            <w:left w:w="0" w:type="dxa"/>
            <w:bottom w:w="0" w:type="dxa"/>
            <w:right w:w="0" w:type="dxa"/>
          </w:tblCellMar>
        </w:tblPrEx>
        <w:trPr>
          <w:trHeight w:val="853"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投稿数量</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3000</w:t>
            </w:r>
            <w:r>
              <w:rPr>
                <w:rFonts w:cs="宋体"/>
                <w:sz w:val="32"/>
                <w:szCs w:val="32"/>
              </w:rPr>
              <w:t>件以上</w:t>
            </w:r>
          </w:p>
        </w:tc>
      </w:tr>
      <w:tr>
        <w:tblPrEx>
          <w:tblCellMar>
            <w:top w:w="0" w:type="dxa"/>
            <w:left w:w="0" w:type="dxa"/>
            <w:bottom w:w="0" w:type="dxa"/>
            <w:right w:w="0" w:type="dxa"/>
          </w:tblCellMar>
        </w:tblPrEx>
        <w:trPr>
          <w:trHeight w:val="853"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奖金发放</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35400</w:t>
            </w:r>
            <w:r>
              <w:rPr>
                <w:rFonts w:cs="宋体"/>
                <w:sz w:val="32"/>
                <w:szCs w:val="32"/>
              </w:rPr>
              <w:t>元</w:t>
            </w:r>
          </w:p>
        </w:tc>
      </w:tr>
      <w:tr>
        <w:tblPrEx>
          <w:tblCellMar>
            <w:top w:w="0" w:type="dxa"/>
            <w:left w:w="0" w:type="dxa"/>
            <w:bottom w:w="0" w:type="dxa"/>
            <w:right w:w="0" w:type="dxa"/>
          </w:tblCellMar>
        </w:tblPrEx>
        <w:trPr>
          <w:trHeight w:val="1256"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奖项设置</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24</w:t>
            </w:r>
            <w:r>
              <w:rPr>
                <w:rFonts w:cs="宋体"/>
                <w:sz w:val="32"/>
                <w:szCs w:val="32"/>
              </w:rPr>
              <w:t>个等级奖、</w:t>
            </w:r>
            <w:r>
              <w:rPr>
                <w:rFonts w:ascii="仿宋_GB2312" w:eastAsia="仿宋_GB2312" w:cs="仿宋_GB2312"/>
                <w:sz w:val="32"/>
                <w:szCs w:val="32"/>
              </w:rPr>
              <w:t>150</w:t>
            </w:r>
            <w:r>
              <w:rPr>
                <w:rFonts w:cs="宋体"/>
                <w:sz w:val="32"/>
                <w:szCs w:val="32"/>
              </w:rPr>
              <w:t>个优秀奖</w:t>
            </w:r>
          </w:p>
        </w:tc>
      </w:tr>
      <w:tr>
        <w:tblPrEx>
          <w:tblCellMar>
            <w:top w:w="0" w:type="dxa"/>
            <w:left w:w="0" w:type="dxa"/>
            <w:bottom w:w="0" w:type="dxa"/>
            <w:right w:w="0" w:type="dxa"/>
          </w:tblCellMar>
        </w:tblPrEx>
        <w:trPr>
          <w:trHeight w:val="893"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原创活动短视频宣发推广</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10</w:t>
            </w:r>
            <w:r>
              <w:rPr>
                <w:rFonts w:cs="宋体"/>
                <w:sz w:val="32"/>
                <w:szCs w:val="32"/>
              </w:rPr>
              <w:t>期</w:t>
            </w:r>
          </w:p>
        </w:tc>
      </w:tr>
      <w:tr>
        <w:tblPrEx>
          <w:tblCellMar>
            <w:top w:w="0" w:type="dxa"/>
            <w:left w:w="0" w:type="dxa"/>
            <w:bottom w:w="0" w:type="dxa"/>
            <w:right w:w="0" w:type="dxa"/>
          </w:tblCellMar>
        </w:tblPrEx>
        <w:trPr>
          <w:trHeight w:val="64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质量指标</w:t>
            </w: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活动短视频传播影响力</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100w+</w:t>
            </w:r>
          </w:p>
        </w:tc>
      </w:tr>
      <w:tr>
        <w:tblPrEx>
          <w:tblCellMar>
            <w:top w:w="0" w:type="dxa"/>
            <w:left w:w="0" w:type="dxa"/>
            <w:bottom w:w="0" w:type="dxa"/>
            <w:right w:w="0" w:type="dxa"/>
          </w:tblCellMar>
        </w:tblPrEx>
        <w:trPr>
          <w:trHeight w:val="774"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奖项评审完成率</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100%</w:t>
            </w:r>
          </w:p>
        </w:tc>
      </w:tr>
      <w:tr>
        <w:tblPrEx>
          <w:tblCellMar>
            <w:top w:w="0" w:type="dxa"/>
            <w:left w:w="0" w:type="dxa"/>
            <w:bottom w:w="0" w:type="dxa"/>
            <w:right w:w="0" w:type="dxa"/>
          </w:tblCellMar>
        </w:tblPrEx>
        <w:trPr>
          <w:trHeight w:val="774"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颁奖礼完成率</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100%</w:t>
            </w:r>
          </w:p>
        </w:tc>
      </w:tr>
      <w:tr>
        <w:tblPrEx>
          <w:tblCellMar>
            <w:top w:w="0" w:type="dxa"/>
            <w:left w:w="0" w:type="dxa"/>
            <w:bottom w:w="0" w:type="dxa"/>
            <w:right w:w="0" w:type="dxa"/>
          </w:tblCellMar>
        </w:tblPrEx>
        <w:trPr>
          <w:trHeight w:val="1256"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小程序平台征集、宣发使用完成率</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100%</w:t>
            </w:r>
          </w:p>
        </w:tc>
      </w:tr>
      <w:tr>
        <w:tblPrEx>
          <w:tblCellMar>
            <w:top w:w="0" w:type="dxa"/>
            <w:left w:w="0" w:type="dxa"/>
            <w:bottom w:w="0" w:type="dxa"/>
            <w:right w:w="0" w:type="dxa"/>
          </w:tblCellMar>
        </w:tblPrEx>
        <w:trPr>
          <w:trHeight w:val="853"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成本指标</w:t>
            </w: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项目预算控制数</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29.5</w:t>
            </w:r>
            <w:r>
              <w:rPr>
                <w:rFonts w:cs="宋体"/>
                <w:sz w:val="32"/>
                <w:szCs w:val="32"/>
              </w:rPr>
              <w:t>万元</w:t>
            </w:r>
          </w:p>
        </w:tc>
      </w:tr>
      <w:tr>
        <w:tblPrEx>
          <w:tblCellMar>
            <w:top w:w="0" w:type="dxa"/>
            <w:left w:w="0" w:type="dxa"/>
            <w:bottom w:w="0" w:type="dxa"/>
            <w:right w:w="0" w:type="dxa"/>
          </w:tblCellMar>
        </w:tblPrEx>
        <w:trPr>
          <w:trHeight w:val="106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效</w:t>
            </w:r>
            <w:r>
              <w:rPr>
                <w:rFonts w:ascii="仿宋_GB2312" w:hAnsi="楷体" w:eastAsia="仿宋_GB2312" w:cs="仿宋_GB2312"/>
                <w:sz w:val="32"/>
                <w:szCs w:val="32"/>
              </w:rPr>
              <w:br w:type="textWrapping"/>
            </w:r>
            <w:r>
              <w:rPr>
                <w:rFonts w:cs="宋体"/>
                <w:sz w:val="32"/>
                <w:szCs w:val="32"/>
              </w:rPr>
              <w:t>益</w:t>
            </w:r>
            <w:r>
              <w:rPr>
                <w:rFonts w:ascii="仿宋_GB2312" w:hAnsi="楷体" w:eastAsia="仿宋_GB2312" w:cs="仿宋_GB2312"/>
                <w:sz w:val="32"/>
                <w:szCs w:val="32"/>
              </w:rPr>
              <w:br w:type="textWrapping"/>
            </w:r>
            <w:r>
              <w:rPr>
                <w:rFonts w:cs="宋体"/>
                <w:sz w:val="32"/>
                <w:szCs w:val="32"/>
              </w:rPr>
              <w:t>指</w:t>
            </w:r>
            <w:r>
              <w:rPr>
                <w:rFonts w:ascii="仿宋_GB2312" w:hAnsi="楷体" w:eastAsia="仿宋_GB2312" w:cs="仿宋_GB2312"/>
                <w:sz w:val="32"/>
                <w:szCs w:val="32"/>
              </w:rPr>
              <w:br w:type="textWrapping"/>
            </w:r>
            <w:r>
              <w:rPr>
                <w:rFonts w:cs="宋体"/>
                <w:sz w:val="32"/>
                <w:szCs w:val="32"/>
              </w:rPr>
              <w:t>标</w:t>
            </w:r>
          </w:p>
        </w:tc>
        <w:tc>
          <w:tcPr>
            <w:tcW w:w="1945"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社会效益指标</w:t>
            </w: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活动参与人次</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10w+</w:t>
            </w:r>
          </w:p>
        </w:tc>
      </w:tr>
      <w:tr>
        <w:tblPrEx>
          <w:tblCellMar>
            <w:top w:w="0" w:type="dxa"/>
            <w:left w:w="0" w:type="dxa"/>
            <w:bottom w:w="0" w:type="dxa"/>
            <w:right w:w="0" w:type="dxa"/>
          </w:tblCellMar>
        </w:tblPrEx>
        <w:trPr>
          <w:trHeight w:val="106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投稿数量</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3000</w:t>
            </w:r>
            <w:r>
              <w:rPr>
                <w:rFonts w:cs="宋体"/>
                <w:sz w:val="32"/>
                <w:szCs w:val="32"/>
              </w:rPr>
              <w:t>件以上</w:t>
            </w:r>
          </w:p>
        </w:tc>
      </w:tr>
      <w:tr>
        <w:tblPrEx>
          <w:tblCellMar>
            <w:top w:w="0" w:type="dxa"/>
            <w:left w:w="0" w:type="dxa"/>
            <w:bottom w:w="0" w:type="dxa"/>
            <w:right w:w="0" w:type="dxa"/>
          </w:tblCellMar>
        </w:tblPrEx>
        <w:trPr>
          <w:trHeight w:val="1256"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活动短视频传播转发影响力</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20</w:t>
            </w:r>
            <w:r>
              <w:rPr>
                <w:rFonts w:cs="宋体"/>
                <w:sz w:val="32"/>
                <w:szCs w:val="32"/>
              </w:rPr>
              <w:t>家以上媒体转发</w:t>
            </w:r>
          </w:p>
        </w:tc>
      </w:tr>
      <w:tr>
        <w:tblPrEx>
          <w:tblCellMar>
            <w:top w:w="0" w:type="dxa"/>
            <w:left w:w="0" w:type="dxa"/>
            <w:bottom w:w="0" w:type="dxa"/>
            <w:right w:w="0" w:type="dxa"/>
          </w:tblCellMar>
        </w:tblPrEx>
        <w:trPr>
          <w:trHeight w:val="106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94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活动形成品牌影响力</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逐步提升</w:t>
            </w:r>
          </w:p>
        </w:tc>
      </w:tr>
      <w:tr>
        <w:tblPrEx>
          <w:tblCellMar>
            <w:top w:w="0" w:type="dxa"/>
            <w:left w:w="0" w:type="dxa"/>
            <w:bottom w:w="0" w:type="dxa"/>
            <w:right w:w="0" w:type="dxa"/>
          </w:tblCellMar>
        </w:tblPrEx>
        <w:trPr>
          <w:trHeight w:val="1881"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79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满意度指标</w:t>
            </w:r>
          </w:p>
        </w:tc>
        <w:tc>
          <w:tcPr>
            <w:tcW w:w="194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服务对象</w:t>
            </w:r>
            <w:r>
              <w:rPr>
                <w:rFonts w:ascii="仿宋_GB2312" w:hAnsi="楷体" w:eastAsia="仿宋_GB2312" w:cs="仿宋_GB2312"/>
                <w:sz w:val="32"/>
                <w:szCs w:val="32"/>
              </w:rPr>
              <w:br w:type="textWrapping"/>
            </w:r>
            <w:r>
              <w:rPr>
                <w:rFonts w:cs="宋体"/>
                <w:sz w:val="32"/>
                <w:szCs w:val="32"/>
              </w:rPr>
              <w:t>满意度指标</w:t>
            </w:r>
          </w:p>
        </w:tc>
        <w:tc>
          <w:tcPr>
            <w:tcW w:w="361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cs="宋体"/>
                <w:sz w:val="32"/>
                <w:szCs w:val="32"/>
              </w:rPr>
              <w:t>市民满意度</w:t>
            </w:r>
          </w:p>
        </w:tc>
        <w:tc>
          <w:tcPr>
            <w:tcW w:w="19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楷体" w:eastAsia="仿宋_GB2312" w:cs="仿宋_GB2312"/>
                <w:sz w:val="32"/>
                <w:szCs w:val="32"/>
              </w:rPr>
            </w:pPr>
            <w:r>
              <w:rPr>
                <w:rFonts w:ascii="仿宋_GB2312" w:eastAsia="仿宋_GB2312" w:cs="仿宋_GB2312"/>
                <w:sz w:val="32"/>
                <w:szCs w:val="32"/>
              </w:rPr>
              <w:t>≥95%</w:t>
            </w:r>
          </w:p>
        </w:tc>
      </w:tr>
    </w:tbl>
    <w:p>
      <w:pPr>
        <w:pStyle w:val="72"/>
        <w:ind w:firstLine="640" w:firstLineChars="200"/>
        <w:rPr>
          <w:rFonts w:ascii="黑体" w:hAnsi="宋体" w:eastAsia="黑体" w:cs="黑体"/>
          <w:sz w:val="32"/>
          <w:szCs w:val="32"/>
        </w:rPr>
      </w:pPr>
      <w:r>
        <w:rPr>
          <w:rFonts w:hint="eastAsia" w:ascii="黑体" w:hAnsi="宋体" w:eastAsia="黑体" w:cs="黑体"/>
          <w:sz w:val="32"/>
          <w:szCs w:val="32"/>
        </w:rPr>
        <w:t>二、绩效评价工作情况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全面了解项目管理过程是否规范、产出目标是否完成以及效果目标是否实现等方面的内容，总结经验，查找不足，为项目在以后年度的开展提供可行性参考建议。在此基础上，重点分析项目预算编制的合理性、成本支出的真实性和控制有效性，评价财政资金的使用效率和效果，为以后年度编制项目预算、选择项目实施主体等提供参考依据。</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topLinePunct/>
        <w:spacing w:line="600" w:lineRule="exact"/>
        <w:ind w:firstLine="640" w:firstLineChars="200"/>
        <w:jc w:val="both"/>
        <w:rPr>
          <w:rFonts w:hint="default" w:ascii="仿宋" w:hAnsi="仿宋" w:eastAsia="仿宋" w:cs="仿宋"/>
          <w:b/>
          <w:sz w:val="32"/>
          <w:szCs w:val="32"/>
        </w:rPr>
      </w:pPr>
      <w:r>
        <w:rPr>
          <w:rFonts w:ascii="仿宋" w:hAnsi="仿宋" w:eastAsia="仿宋" w:cs="仿宋"/>
          <w:sz w:val="32"/>
          <w:szCs w:val="32"/>
        </w:rPr>
        <w:t>1.前期调研</w:t>
      </w:r>
    </w:p>
    <w:p>
      <w:pPr>
        <w:pStyle w:val="8"/>
        <w:spacing w:line="600" w:lineRule="exact"/>
        <w:ind w:firstLine="640"/>
        <w:rPr>
          <w:rFonts w:ascii="仿宋" w:hAnsi="仿宋" w:eastAsia="仿宋" w:cs="仿宋"/>
          <w:sz w:val="32"/>
          <w:szCs w:val="32"/>
        </w:rPr>
      </w:pPr>
      <w:r>
        <w:rPr>
          <w:rFonts w:hint="eastAsia" w:ascii="仿宋" w:hAnsi="仿宋" w:eastAsia="仿宋" w:cs="仿宋"/>
          <w:sz w:val="32"/>
          <w:szCs w:val="32"/>
        </w:rPr>
        <w:t>对比其他的征集活动，进行了原创创新，开发线上技术平台。</w:t>
      </w:r>
    </w:p>
    <w:p>
      <w:pPr>
        <w:pStyle w:val="8"/>
        <w:rPr>
          <w:rFonts w:ascii="仿宋_GB2312" w:hAnsi="楷体" w:eastAsia="仿宋_GB2312" w:cs="仿宋_GB2312"/>
          <w:sz w:val="32"/>
          <w:szCs w:val="32"/>
        </w:rPr>
      </w:pPr>
      <w:r>
        <w:drawing>
          <wp:inline distT="0" distB="0" distL="114300" distR="114300">
            <wp:extent cx="952500" cy="9525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a:stretch>
                      <a:fillRect/>
                    </a:stretch>
                  </pic:blipFill>
                  <pic:spPr>
                    <a:xfrm>
                      <a:off x="0" y="0"/>
                      <a:ext cx="952500" cy="952500"/>
                    </a:xfrm>
                    <a:prstGeom prst="rect">
                      <a:avLst/>
                    </a:prstGeom>
                    <a:noFill/>
                    <a:ln w="9525">
                      <a:noFill/>
                    </a:ln>
                  </pic:spPr>
                </pic:pic>
              </a:graphicData>
            </a:graphic>
          </wp:inline>
        </w:drawing>
      </w:r>
      <w:r>
        <w:rPr>
          <w:rFonts w:hint="eastAsia" w:ascii="仿宋_GB2312" w:hAnsi="楷体" w:eastAsia="仿宋_GB2312" w:cs="仿宋_GB2312"/>
          <w:sz w:val="32"/>
          <w:szCs w:val="32"/>
        </w:rPr>
        <w:t xml:space="preserve"> </w:t>
      </w:r>
    </w:p>
    <w:p>
      <w:pPr>
        <w:topLinePunct/>
        <w:spacing w:line="44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2.绩效评价指标体系及工作方案的设计</w:t>
      </w:r>
    </w:p>
    <w:p>
      <w:pPr>
        <w:pStyle w:val="8"/>
        <w:ind w:firstLine="640"/>
        <w:rPr>
          <w:rFonts w:ascii="仿宋" w:hAnsi="仿宋" w:eastAsia="仿宋" w:cs="仿宋"/>
          <w:sz w:val="32"/>
          <w:szCs w:val="32"/>
        </w:rPr>
      </w:pPr>
      <w:r>
        <w:rPr>
          <w:rFonts w:hint="eastAsia" w:ascii="仿宋" w:hAnsi="仿宋" w:eastAsia="仿宋" w:cs="仿宋"/>
          <w:sz w:val="32"/>
          <w:szCs w:val="32"/>
        </w:rPr>
        <w:t>从参与人次、活动传播、宣传推广、互动影响方面设计了评价指标体系和工作方案。</w:t>
      </w:r>
    </w:p>
    <w:p>
      <w:pPr>
        <w:pStyle w:val="8"/>
        <w:ind w:left="600" w:leftChars="250" w:firstLine="0" w:firstLineChars="0"/>
        <w:rPr>
          <w:sz w:val="32"/>
          <w:szCs w:val="32"/>
        </w:rPr>
      </w:pPr>
      <w:r>
        <w:drawing>
          <wp:inline distT="0" distB="0" distL="114300" distR="114300">
            <wp:extent cx="1524000" cy="378142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a:stretch>
                      <a:fillRect/>
                    </a:stretch>
                  </pic:blipFill>
                  <pic:spPr>
                    <a:xfrm>
                      <a:off x="0" y="0"/>
                      <a:ext cx="1524000" cy="3781425"/>
                    </a:xfrm>
                    <a:prstGeom prst="rect">
                      <a:avLst/>
                    </a:prstGeom>
                    <a:noFill/>
                    <a:ln w="9525">
                      <a:noFill/>
                    </a:ln>
                  </pic:spPr>
                </pic:pic>
              </a:graphicData>
            </a:graphic>
          </wp:inline>
        </w:drawing>
      </w:r>
      <w:r>
        <w:drawing>
          <wp:inline distT="0" distB="0" distL="114300" distR="114300">
            <wp:extent cx="1409700" cy="380047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a:stretch>
                      <a:fillRect/>
                    </a:stretch>
                  </pic:blipFill>
                  <pic:spPr>
                    <a:xfrm>
                      <a:off x="0" y="0"/>
                      <a:ext cx="1409700" cy="3800475"/>
                    </a:xfrm>
                    <a:prstGeom prst="rect">
                      <a:avLst/>
                    </a:prstGeom>
                    <a:noFill/>
                    <a:ln w="9525">
                      <a:noFill/>
                    </a:ln>
                  </pic:spPr>
                </pic:pic>
              </a:graphicData>
            </a:graphic>
          </wp:inline>
        </w:drawing>
      </w:r>
      <w:r>
        <w:drawing>
          <wp:inline distT="0" distB="0" distL="114300" distR="114300">
            <wp:extent cx="1619250" cy="481965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a:stretch>
                      <a:fillRect/>
                    </a:stretch>
                  </pic:blipFill>
                  <pic:spPr>
                    <a:xfrm>
                      <a:off x="0" y="0"/>
                      <a:ext cx="1619250" cy="4819650"/>
                    </a:xfrm>
                    <a:prstGeom prst="rect">
                      <a:avLst/>
                    </a:prstGeom>
                    <a:noFill/>
                    <a:ln w="9525">
                      <a:noFill/>
                    </a:ln>
                  </pic:spPr>
                </pic:pic>
              </a:graphicData>
            </a:graphic>
          </wp:inline>
        </w:drawing>
      </w:r>
      <w:r>
        <w:rPr>
          <w:sz w:val="32"/>
          <w:szCs w:val="32"/>
        </w:rPr>
        <w:t xml:space="preserve">      </w:t>
      </w:r>
      <w:r>
        <w:drawing>
          <wp:inline distT="0" distB="0" distL="114300" distR="114300">
            <wp:extent cx="1114425" cy="4876800"/>
            <wp:effectExtent l="0" t="0" r="9525"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a:stretch>
                      <a:fillRect/>
                    </a:stretch>
                  </pic:blipFill>
                  <pic:spPr>
                    <a:xfrm>
                      <a:off x="0" y="0"/>
                      <a:ext cx="1114425" cy="4876800"/>
                    </a:xfrm>
                    <a:prstGeom prst="rect">
                      <a:avLst/>
                    </a:prstGeom>
                    <a:noFill/>
                    <a:ln w="9525">
                      <a:noFill/>
                    </a:ln>
                  </pic:spPr>
                </pic:pic>
              </a:graphicData>
            </a:graphic>
          </wp:inline>
        </w:drawing>
      </w:r>
    </w:p>
    <w:p>
      <w:pPr>
        <w:topLinePunct/>
        <w:spacing w:line="440" w:lineRule="exact"/>
        <w:ind w:firstLine="800" w:firstLineChars="250"/>
        <w:jc w:val="both"/>
        <w:rPr>
          <w:rFonts w:hint="default" w:ascii="楷体" w:hAnsi="楷体" w:eastAsia="楷体" w:cs="楷体"/>
          <w:sz w:val="32"/>
          <w:szCs w:val="32"/>
        </w:rPr>
      </w:pPr>
      <w:r>
        <w:rPr>
          <w:rFonts w:ascii="楷体" w:hAnsi="楷体" w:eastAsia="楷体" w:cs="楷体"/>
          <w:sz w:val="32"/>
          <w:szCs w:val="32"/>
        </w:rPr>
        <w:t xml:space="preserve"> </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活动以科学规范、公开公正、绩效相关原则，从产出指标、效益指标、满意度指标三个一级指标维度制定绩效评价，在此基础上，细化制定数量、质量、成本、社会效益、服务对象满意度5个二级指标，最后结合项目实施节点制定了参与人次、播放数量等三级指标，并实现了数据化评价。</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评价方法中，尽可能使用数据采集进行科学评价，积极引入第三方评价，如参与人次、播放数量、媒体转发等，以客观、真实地评价活动效果，形成有效的指导意见。</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（四）绩效评价实施过程</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1.专家评审</w:t>
      </w:r>
    </w:p>
    <w:p>
      <w:pPr>
        <w:pStyle w:val="69"/>
        <w:spacing w:line="600" w:lineRule="exact"/>
        <w:ind w:firstLine="640"/>
        <w:rPr>
          <w:rFonts w:ascii="仿宋" w:hAnsi="仿宋" w:eastAsia="仿宋" w:cs="仿宋"/>
          <w:sz w:val="32"/>
          <w:szCs w:val="32"/>
        </w:rPr>
      </w:pPr>
      <w:r>
        <w:rPr>
          <w:rFonts w:hint="eastAsia" w:ascii="仿宋" w:hAnsi="仿宋" w:eastAsia="仿宋" w:cs="仿宋"/>
          <w:sz w:val="32"/>
          <w:szCs w:val="32"/>
        </w:rPr>
        <w:t>活动吸引13万市民拍花传令，征集到投稿5000余件，经专家评审出24件等级奖作品和150件优秀奖作品，已面向社会公示。连续参加三届春城飞花令的评审专家现场评价，本届活动投稿短视频作品明显增多，投稿质量较以往明显提升，紧扣主题、立意新颖，尤其在短视频方面，无人机航拍、慢放延时等难度较高的手法都有很好的应用和表达，看得出来作者们很花心思，以及对春城飞花美景的深厚感情和对春城飞花令活动的认可。</w:t>
      </w:r>
    </w:p>
    <w:p>
      <w:pPr>
        <w:pStyle w:val="72"/>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2.数据佐证</w:t>
      </w:r>
    </w:p>
    <w:p>
      <w:pPr>
        <w:pStyle w:val="72"/>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活动在省政府新闻办召开“5.22国际生物多样性日系列主题发布会”春城飞花令活动作为活动之一，向社会发布。发布会上，省新闻办、省宣领导对春城飞花令——“令起春城舞花间”系列短视频高度肯定，并要求全省媒体转发，掀起关注热潮。“令起春城舞花间”系列短视频收获广泛好评，被人民网、中国日报、北京日报、澎湃新闻、云南省文旅厅、游云南、学习强国、新浪、网易等多平台转发。其中，蓝花楹、海菜花单期视频全网转发量100万+；绣球花海短视频被学习强国总网转发，播放量35.6万+。</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（五）本次绩效评价的局限性</w:t>
      </w:r>
    </w:p>
    <w:p>
      <w:pPr>
        <w:pStyle w:val="72"/>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对市民满意度的收集存在局限性。</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三、评价结论和绩效分析</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项目绩效目标根据部门绩效目标制定，真实有效地反映了部门的职能，并且绩效可考核。项目资金使用有效合理，有严格的财务及内控制度把关，没有超出预算范围使用的情况发生。项目绩效指标及时完成并且完成情况良好。</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活动吸引13万市民拍花传令，征集到投稿5000余件，经专家评审出24件等级奖作品和150件优秀奖作品，并在省政府新闻办召开“5.22国际生物多样性日系列主题发布会”春城飞花令活动作为活动之一，向社会发布。发布会上，省新闻办、省宣领导对春城飞花令——“令起春城舞花间”系列短视频高度肯定，并要求全省媒体转发，掀起关注热潮。“令起春城舞花间”系列短视频收获广泛好评，被人民网、中国日报、北京日报、澎湃新闻、云南省文旅厅、游云南、学习强国、新浪、网易等多平台转发。其中，蓝花楹、海菜花单期视频全网转发量100万+；绣球花海短视频被学习强国总网转发，播放量35.6万+。</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（二）具体绩效分析</w:t>
      </w:r>
    </w:p>
    <w:p>
      <w:pPr>
        <w:pStyle w:val="72"/>
        <w:rPr>
          <w:rFonts w:ascii="仿宋_GB2312" w:hAnsi="仿宋" w:eastAsia="仿宋_GB2312" w:cs="仿宋_GB2312"/>
          <w:sz w:val="32"/>
          <w:szCs w:val="32"/>
        </w:rPr>
      </w:pPr>
      <w:r>
        <w:rPr>
          <w:sz w:val="32"/>
          <w:szCs w:val="32"/>
        </w:rPr>
        <w:t xml:space="preserve"> </w:t>
      </w:r>
      <w:r>
        <w:rPr>
          <w:rFonts w:hint="eastAsia" w:ascii="仿宋_GB2312" w:hAnsi="仿宋" w:eastAsia="仿宋_GB2312" w:cs="仿宋_GB2312"/>
          <w:sz w:val="32"/>
          <w:szCs w:val="32"/>
        </w:rPr>
        <w:t xml:space="preserve">    </w:t>
      </w:r>
    </w:p>
    <w:tbl>
      <w:tblPr>
        <w:tblStyle w:val="16"/>
        <w:tblW w:w="0" w:type="auto"/>
        <w:tblInd w:w="372" w:type="dxa"/>
        <w:tblLayout w:type="fixed"/>
        <w:tblCellMar>
          <w:top w:w="0" w:type="dxa"/>
          <w:left w:w="0" w:type="dxa"/>
          <w:bottom w:w="0" w:type="dxa"/>
          <w:right w:w="0" w:type="dxa"/>
        </w:tblCellMar>
      </w:tblPr>
      <w:tblGrid>
        <w:gridCol w:w="561"/>
        <w:gridCol w:w="615"/>
        <w:gridCol w:w="1505"/>
        <w:gridCol w:w="2796"/>
        <w:gridCol w:w="1483"/>
        <w:gridCol w:w="1469"/>
      </w:tblGrid>
      <w:tr>
        <w:tblPrEx>
          <w:tblCellMar>
            <w:top w:w="0" w:type="dxa"/>
            <w:left w:w="0" w:type="dxa"/>
            <w:bottom w:w="0" w:type="dxa"/>
            <w:right w:w="0" w:type="dxa"/>
          </w:tblCellMar>
        </w:tblPrEx>
        <w:trPr>
          <w:trHeight w:val="495" w:hRule="atLeast"/>
        </w:trPr>
        <w:tc>
          <w:tcPr>
            <w:tcW w:w="5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绩</w:t>
            </w:r>
            <w:r>
              <w:rPr>
                <w:rFonts w:ascii="仿宋_GB2312" w:hAnsi="仿宋" w:eastAsia="仿宋_GB2312" w:cs="仿宋_GB2312"/>
              </w:rPr>
              <w:br w:type="textWrapping"/>
            </w:r>
            <w:r>
              <w:rPr>
                <w:rFonts w:cs="宋体"/>
              </w:rPr>
              <w:t>效</w:t>
            </w:r>
            <w:r>
              <w:rPr>
                <w:rFonts w:ascii="仿宋_GB2312" w:hAnsi="仿宋" w:eastAsia="仿宋_GB2312" w:cs="仿宋_GB2312"/>
              </w:rPr>
              <w:br w:type="textWrapping"/>
            </w:r>
            <w:r>
              <w:rPr>
                <w:rFonts w:cs="宋体"/>
              </w:rPr>
              <w:t>指</w:t>
            </w:r>
            <w:r>
              <w:rPr>
                <w:rFonts w:ascii="仿宋_GB2312" w:hAnsi="仿宋" w:eastAsia="仿宋_GB2312" w:cs="仿宋_GB2312"/>
              </w:rPr>
              <w:br w:type="textWrapping"/>
            </w:r>
            <w:r>
              <w:rPr>
                <w:rFonts w:cs="宋体"/>
              </w:rPr>
              <w:t>标</w:t>
            </w:r>
          </w:p>
        </w:tc>
        <w:tc>
          <w:tcPr>
            <w:tcW w:w="61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一级</w:t>
            </w:r>
            <w:r>
              <w:rPr>
                <w:rFonts w:ascii="仿宋_GB2312" w:hAnsi="仿宋" w:eastAsia="仿宋_GB2312" w:cs="仿宋_GB2312"/>
              </w:rPr>
              <w:br w:type="textWrapping"/>
            </w:r>
            <w:r>
              <w:rPr>
                <w:rFonts w:cs="宋体"/>
              </w:rPr>
              <w:t>指标</w:t>
            </w:r>
          </w:p>
        </w:tc>
        <w:tc>
          <w:tcPr>
            <w:tcW w:w="15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二级指标</w:t>
            </w: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三级指标</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指标值</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评价</w:t>
            </w:r>
          </w:p>
        </w:tc>
      </w:tr>
      <w:tr>
        <w:tblPrEx>
          <w:tblCellMar>
            <w:top w:w="0" w:type="dxa"/>
            <w:left w:w="0" w:type="dxa"/>
            <w:bottom w:w="0" w:type="dxa"/>
            <w:right w:w="0" w:type="dxa"/>
          </w:tblCellMar>
        </w:tblPrEx>
        <w:trPr>
          <w:trHeight w:val="84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产</w:t>
            </w:r>
            <w:r>
              <w:rPr>
                <w:rFonts w:ascii="仿宋_GB2312" w:hAnsi="仿宋" w:eastAsia="仿宋_GB2312" w:cs="仿宋_GB2312"/>
              </w:rPr>
              <w:br w:type="textWrapping"/>
            </w:r>
            <w:r>
              <w:rPr>
                <w:rFonts w:cs="宋体"/>
              </w:rPr>
              <w:t>出</w:t>
            </w:r>
            <w:r>
              <w:rPr>
                <w:rFonts w:ascii="仿宋_GB2312" w:hAnsi="仿宋" w:eastAsia="仿宋_GB2312" w:cs="仿宋_GB2312"/>
              </w:rPr>
              <w:br w:type="textWrapping"/>
            </w:r>
            <w:r>
              <w:rPr>
                <w:rFonts w:cs="宋体"/>
              </w:rPr>
              <w:t>指</w:t>
            </w:r>
            <w:r>
              <w:rPr>
                <w:rFonts w:ascii="仿宋_GB2312" w:hAnsi="仿宋" w:eastAsia="仿宋_GB2312" w:cs="仿宋_GB2312"/>
              </w:rPr>
              <w:br w:type="textWrapping"/>
            </w:r>
            <w:r>
              <w:rPr>
                <w:rFonts w:cs="宋体"/>
              </w:rPr>
              <w:t>标</w:t>
            </w:r>
          </w:p>
        </w:tc>
        <w:tc>
          <w:tcPr>
            <w:tcW w:w="1505"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数量指标</w:t>
            </w: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活动参与人次</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w:t>
            </w:r>
            <w:r>
              <w:rPr>
                <w:rFonts w:cs="宋体"/>
              </w:rPr>
              <w:t>万</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13</w:t>
            </w:r>
            <w:r>
              <w:rPr>
                <w:rFonts w:cs="宋体"/>
              </w:rPr>
              <w:t>万</w:t>
            </w:r>
          </w:p>
        </w:tc>
      </w:tr>
      <w:tr>
        <w:tblPrEx>
          <w:tblCellMar>
            <w:top w:w="0" w:type="dxa"/>
            <w:left w:w="0" w:type="dxa"/>
            <w:bottom w:w="0" w:type="dxa"/>
            <w:right w:w="0" w:type="dxa"/>
          </w:tblCellMar>
        </w:tblPrEx>
        <w:trPr>
          <w:trHeight w:val="84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投稿数量</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3000</w:t>
            </w:r>
            <w:r>
              <w:rPr>
                <w:rFonts w:cs="宋体"/>
              </w:rPr>
              <w:t>件以上</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5000</w:t>
            </w:r>
            <w:r>
              <w:rPr>
                <w:rFonts w:cs="宋体"/>
              </w:rPr>
              <w:t>件</w:t>
            </w:r>
            <w:r>
              <w:rPr>
                <w:rFonts w:ascii="仿宋_GB2312" w:eastAsia="仿宋_GB2312" w:cs="仿宋_GB2312"/>
              </w:rPr>
              <w:t>+</w:t>
            </w:r>
          </w:p>
        </w:tc>
      </w:tr>
      <w:tr>
        <w:tblPrEx>
          <w:tblCellMar>
            <w:top w:w="0" w:type="dxa"/>
            <w:left w:w="0" w:type="dxa"/>
            <w:bottom w:w="0" w:type="dxa"/>
            <w:right w:w="0" w:type="dxa"/>
          </w:tblCellMar>
        </w:tblPrEx>
        <w:trPr>
          <w:trHeight w:val="84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奖金发放</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35400</w:t>
            </w:r>
            <w:r>
              <w:rPr>
                <w:rFonts w:cs="宋体"/>
              </w:rPr>
              <w:t>元</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实发</w:t>
            </w:r>
            <w:r>
              <w:rPr>
                <w:rFonts w:ascii="仿宋_GB2312" w:eastAsia="仿宋_GB2312" w:cs="仿宋_GB2312"/>
              </w:rPr>
              <w:t>34120</w:t>
            </w:r>
            <w:r>
              <w:rPr>
                <w:rFonts w:cs="宋体"/>
              </w:rPr>
              <w:t>元（领奖人银行卡问题未发放，已退回财政）</w:t>
            </w:r>
          </w:p>
        </w:tc>
      </w:tr>
      <w:tr>
        <w:tblPrEx>
          <w:tblCellMar>
            <w:top w:w="0" w:type="dxa"/>
            <w:left w:w="0" w:type="dxa"/>
            <w:bottom w:w="0" w:type="dxa"/>
            <w:right w:w="0" w:type="dxa"/>
          </w:tblCellMar>
        </w:tblPrEx>
        <w:trPr>
          <w:trHeight w:val="84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奖项设置</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24</w:t>
            </w:r>
            <w:r>
              <w:rPr>
                <w:rFonts w:cs="宋体"/>
              </w:rPr>
              <w:t>个等级奖、</w:t>
            </w:r>
            <w:r>
              <w:rPr>
                <w:rFonts w:ascii="仿宋_GB2312" w:eastAsia="仿宋_GB2312" w:cs="仿宋_GB2312"/>
              </w:rPr>
              <w:t>150</w:t>
            </w:r>
            <w:r>
              <w:rPr>
                <w:rFonts w:cs="宋体"/>
              </w:rPr>
              <w:t>个优秀奖</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评审出</w:t>
            </w:r>
            <w:r>
              <w:rPr>
                <w:rFonts w:ascii="仿宋_GB2312" w:eastAsia="仿宋_GB2312" w:cs="仿宋_GB2312"/>
              </w:rPr>
              <w:t>24</w:t>
            </w:r>
            <w:r>
              <w:rPr>
                <w:rFonts w:cs="宋体"/>
              </w:rPr>
              <w:t>个等级奖、</w:t>
            </w:r>
            <w:r>
              <w:rPr>
                <w:rFonts w:ascii="仿宋_GB2312" w:eastAsia="仿宋_GB2312" w:cs="仿宋_GB2312"/>
              </w:rPr>
              <w:t>150</w:t>
            </w:r>
            <w:r>
              <w:rPr>
                <w:rFonts w:cs="宋体"/>
              </w:rPr>
              <w:t>个优秀奖</w:t>
            </w:r>
          </w:p>
        </w:tc>
      </w:tr>
      <w:tr>
        <w:tblPrEx>
          <w:tblCellMar>
            <w:top w:w="0" w:type="dxa"/>
            <w:left w:w="0" w:type="dxa"/>
            <w:bottom w:w="0" w:type="dxa"/>
            <w:right w:w="0" w:type="dxa"/>
          </w:tblCellMar>
        </w:tblPrEx>
        <w:trPr>
          <w:trHeight w:val="88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原创活动短视频宣发推广</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w:t>
            </w:r>
            <w:r>
              <w:rPr>
                <w:rFonts w:cs="宋体"/>
              </w:rPr>
              <w:t>期</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w:t>
            </w:r>
            <w:r>
              <w:rPr>
                <w:rFonts w:cs="宋体"/>
              </w:rPr>
              <w:t>期</w:t>
            </w:r>
          </w:p>
        </w:tc>
      </w:tr>
      <w:tr>
        <w:tblPrEx>
          <w:tblCellMar>
            <w:top w:w="0" w:type="dxa"/>
            <w:left w:w="0" w:type="dxa"/>
            <w:bottom w:w="0" w:type="dxa"/>
            <w:right w:w="0" w:type="dxa"/>
          </w:tblCellMar>
        </w:tblPrEx>
        <w:trPr>
          <w:trHeight w:val="619"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质量指标</w:t>
            </w: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活动短视频传播影响力</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≥100</w:t>
            </w:r>
            <w:r>
              <w:rPr>
                <w:rFonts w:cs="宋体"/>
              </w:rPr>
              <w:t>万传播量</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≥100</w:t>
            </w:r>
            <w:r>
              <w:rPr>
                <w:rFonts w:cs="宋体"/>
              </w:rPr>
              <w:t>万传播量</w:t>
            </w:r>
          </w:p>
        </w:tc>
      </w:tr>
      <w:tr>
        <w:tblPrEx>
          <w:tblCellMar>
            <w:top w:w="0" w:type="dxa"/>
            <w:left w:w="0" w:type="dxa"/>
            <w:bottom w:w="0" w:type="dxa"/>
            <w:right w:w="0" w:type="dxa"/>
          </w:tblCellMar>
        </w:tblPrEx>
        <w:trPr>
          <w:trHeight w:val="76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奖项评审完成率</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100%</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100%</w:t>
            </w:r>
          </w:p>
        </w:tc>
      </w:tr>
      <w:tr>
        <w:tblPrEx>
          <w:tblCellMar>
            <w:top w:w="0" w:type="dxa"/>
            <w:left w:w="0" w:type="dxa"/>
            <w:bottom w:w="0" w:type="dxa"/>
            <w:right w:w="0" w:type="dxa"/>
          </w:tblCellMar>
        </w:tblPrEx>
        <w:trPr>
          <w:trHeight w:val="76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颁奖礼完成率</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100%</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100%</w:t>
            </w:r>
          </w:p>
        </w:tc>
      </w:tr>
      <w:tr>
        <w:tblPrEx>
          <w:tblCellMar>
            <w:top w:w="0" w:type="dxa"/>
            <w:left w:w="0" w:type="dxa"/>
            <w:bottom w:w="0" w:type="dxa"/>
            <w:right w:w="0" w:type="dxa"/>
          </w:tblCellMar>
        </w:tblPrEx>
        <w:trPr>
          <w:trHeight w:val="76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小程序平台征集、宣发使用完成率</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100%</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100%</w:t>
            </w:r>
          </w:p>
        </w:tc>
      </w:tr>
      <w:tr>
        <w:tblPrEx>
          <w:tblCellMar>
            <w:top w:w="0" w:type="dxa"/>
            <w:left w:w="0" w:type="dxa"/>
            <w:bottom w:w="0" w:type="dxa"/>
            <w:right w:w="0" w:type="dxa"/>
          </w:tblCellMar>
        </w:tblPrEx>
        <w:trPr>
          <w:trHeight w:val="84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成本指标</w:t>
            </w: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项目预算控制数</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29.5</w:t>
            </w:r>
            <w:r>
              <w:rPr>
                <w:rFonts w:cs="宋体"/>
              </w:rPr>
              <w:t>万元</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29.5</w:t>
            </w:r>
            <w:r>
              <w:rPr>
                <w:rFonts w:cs="宋体"/>
              </w:rPr>
              <w:t>万元</w:t>
            </w:r>
          </w:p>
        </w:tc>
      </w:tr>
      <w:tr>
        <w:tblPrEx>
          <w:tblCellMar>
            <w:top w:w="0" w:type="dxa"/>
            <w:left w:w="0" w:type="dxa"/>
            <w:bottom w:w="0" w:type="dxa"/>
            <w:right w:w="0" w:type="dxa"/>
          </w:tblCellMar>
        </w:tblPrEx>
        <w:trPr>
          <w:trHeight w:val="105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效</w:t>
            </w:r>
            <w:r>
              <w:rPr>
                <w:rFonts w:ascii="仿宋_GB2312" w:hAnsi="仿宋" w:eastAsia="仿宋_GB2312" w:cs="仿宋_GB2312"/>
              </w:rPr>
              <w:br w:type="textWrapping"/>
            </w:r>
            <w:r>
              <w:rPr>
                <w:rFonts w:cs="宋体"/>
              </w:rPr>
              <w:t>益</w:t>
            </w:r>
            <w:r>
              <w:rPr>
                <w:rFonts w:ascii="仿宋_GB2312" w:hAnsi="仿宋" w:eastAsia="仿宋_GB2312" w:cs="仿宋_GB2312"/>
              </w:rPr>
              <w:br w:type="textWrapping"/>
            </w:r>
            <w:r>
              <w:rPr>
                <w:rFonts w:cs="宋体"/>
              </w:rPr>
              <w:t>指</w:t>
            </w:r>
            <w:r>
              <w:rPr>
                <w:rFonts w:ascii="仿宋_GB2312" w:hAnsi="仿宋" w:eastAsia="仿宋_GB2312" w:cs="仿宋_GB2312"/>
              </w:rPr>
              <w:br w:type="textWrapping"/>
            </w:r>
            <w:r>
              <w:rPr>
                <w:rFonts w:cs="宋体"/>
              </w:rPr>
              <w:t>标</w:t>
            </w:r>
          </w:p>
        </w:tc>
        <w:tc>
          <w:tcPr>
            <w:tcW w:w="1505"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社会效益指标</w:t>
            </w: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活动参与人次</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≥10</w:t>
            </w:r>
            <w:r>
              <w:rPr>
                <w:rFonts w:cs="宋体"/>
              </w:rPr>
              <w:t>万</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13</w:t>
            </w:r>
            <w:r>
              <w:rPr>
                <w:rFonts w:cs="宋体"/>
              </w:rPr>
              <w:t>万</w:t>
            </w:r>
          </w:p>
        </w:tc>
      </w:tr>
      <w:tr>
        <w:tblPrEx>
          <w:tblCellMar>
            <w:top w:w="0" w:type="dxa"/>
            <w:left w:w="0" w:type="dxa"/>
            <w:bottom w:w="0" w:type="dxa"/>
            <w:right w:w="0" w:type="dxa"/>
          </w:tblCellMar>
        </w:tblPrEx>
        <w:trPr>
          <w:trHeight w:val="105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投稿数量</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≥3000</w:t>
            </w:r>
            <w:r>
              <w:rPr>
                <w:rFonts w:cs="宋体"/>
              </w:rPr>
              <w:t>件</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5000</w:t>
            </w:r>
            <w:r>
              <w:rPr>
                <w:rFonts w:cs="宋体"/>
              </w:rPr>
              <w:t>件</w:t>
            </w:r>
            <w:r>
              <w:rPr>
                <w:rFonts w:ascii="仿宋_GB2312" w:eastAsia="仿宋_GB2312" w:cs="仿宋_GB2312"/>
              </w:rPr>
              <w:t>+</w:t>
            </w:r>
          </w:p>
        </w:tc>
      </w:tr>
      <w:tr>
        <w:tblPrEx>
          <w:tblCellMar>
            <w:top w:w="0" w:type="dxa"/>
            <w:left w:w="0" w:type="dxa"/>
            <w:bottom w:w="0" w:type="dxa"/>
            <w:right w:w="0" w:type="dxa"/>
          </w:tblCellMar>
        </w:tblPrEx>
        <w:trPr>
          <w:trHeight w:val="105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活动短视频传播转发影响力</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20</w:t>
            </w:r>
            <w:r>
              <w:rPr>
                <w:rFonts w:cs="宋体"/>
              </w:rPr>
              <w:t>家以上媒体转发</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20</w:t>
            </w:r>
            <w:r>
              <w:rPr>
                <w:rFonts w:cs="宋体"/>
              </w:rPr>
              <w:t>家以上</w:t>
            </w:r>
          </w:p>
        </w:tc>
      </w:tr>
      <w:tr>
        <w:tblPrEx>
          <w:tblCellMar>
            <w:top w:w="0" w:type="dxa"/>
            <w:left w:w="0" w:type="dxa"/>
            <w:bottom w:w="0" w:type="dxa"/>
            <w:right w:w="0" w:type="dxa"/>
          </w:tblCellMar>
        </w:tblPrEx>
        <w:trPr>
          <w:trHeight w:val="1050"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50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活动形成品牌影响力</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逐步提升</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逐步提升</w:t>
            </w:r>
          </w:p>
        </w:tc>
      </w:tr>
      <w:tr>
        <w:tblPrEx>
          <w:tblCellMar>
            <w:top w:w="0" w:type="dxa"/>
            <w:left w:w="0" w:type="dxa"/>
            <w:bottom w:w="0" w:type="dxa"/>
            <w:right w:w="0" w:type="dxa"/>
          </w:tblCellMar>
        </w:tblPrEx>
        <w:trPr>
          <w:trHeight w:val="825" w:hRule="atLeast"/>
        </w:trPr>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1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满意度指标</w:t>
            </w:r>
          </w:p>
        </w:tc>
        <w:tc>
          <w:tcPr>
            <w:tcW w:w="15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服务对象</w:t>
            </w:r>
            <w:r>
              <w:rPr>
                <w:rFonts w:ascii="仿宋_GB2312" w:hAnsi="仿宋" w:eastAsia="仿宋_GB2312" w:cs="仿宋_GB2312"/>
              </w:rPr>
              <w:br w:type="textWrapping"/>
            </w:r>
            <w:r>
              <w:rPr>
                <w:rFonts w:cs="宋体"/>
              </w:rPr>
              <w:t>满意度指标</w:t>
            </w:r>
          </w:p>
        </w:tc>
        <w:tc>
          <w:tcPr>
            <w:tcW w:w="279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cs="宋体"/>
              </w:rPr>
              <w:t>市民满意度</w:t>
            </w:r>
          </w:p>
        </w:tc>
        <w:tc>
          <w:tcPr>
            <w:tcW w:w="148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≥95%</w:t>
            </w:r>
          </w:p>
        </w:tc>
        <w:tc>
          <w:tcPr>
            <w:tcW w:w="146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ascii="仿宋_GB2312" w:hAnsi="仿宋" w:eastAsia="仿宋_GB2312" w:cs="仿宋_GB2312"/>
              </w:rPr>
            </w:pPr>
            <w:r>
              <w:rPr>
                <w:rFonts w:ascii="仿宋_GB2312" w:eastAsia="仿宋_GB2312" w:cs="仿宋_GB2312"/>
              </w:rPr>
              <w:t>96%</w:t>
            </w:r>
          </w:p>
        </w:tc>
      </w:tr>
    </w:tbl>
    <w:p>
      <w:pPr>
        <w:pStyle w:val="72"/>
        <w:ind w:firstLine="640" w:firstLineChars="200"/>
        <w:rPr>
          <w:rFonts w:ascii="仿宋_GB2312" w:hAnsi="仿宋" w:eastAsia="仿宋_GB2312" w:cs="仿宋_GB2312"/>
          <w:sz w:val="32"/>
          <w:szCs w:val="32"/>
        </w:rPr>
      </w:pPr>
      <w:r>
        <w:rPr>
          <w:rFonts w:hint="eastAsia" w:ascii="黑体" w:hAnsi="宋体" w:eastAsia="黑体" w:cs="黑体"/>
          <w:sz w:val="32"/>
          <w:szCs w:val="32"/>
        </w:rPr>
        <w:t>四、成本效益分析</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（一）资金计划、到位及使用情况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本项目资金来源为2022年度昆明市文艺精品创作专项扶持资金资助项目资金补助，共计29.372万元。</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 xml:space="preserve">本项目资金于2022年10月到位29.372万元，为确保财政预算资金有效合理使用，提高资金使用效率，该项目资金实行专款专用。 </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截至自查时间节点，项目资金实际支出情况为已按照财务流程和相关监管要求，支出线上技术开发费用、奖金费用、令起春城舞花间演员拍摄、评审、宣传推广的费用。</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（二）项目财务管理情况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支出均有相关的授权审批，资金拨付严格审批程序，使用规范，会计核算结果真实、准确，未发现有截留、挤占或挪用项目资金的情况，用于线上技术开发费用、奖金费用、令起春城舞花间演员拍摄、评审、宣传推广的费用。</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（三）项目组织实施情况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为确保项目保质保量地完成，项目严格按照操作程序实施项目管理。一是自觉接受上级部门、社会监督，提高项目质量。二是加强技术指导，进行项目日常自检管理。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严格按照相关规定，成立活动专门小组，设组长、副组长，分别牵头管理活动执行、技术开发、短视频制作、活动推广等工作。资金拨付严格按照财政资金管理、使用流程，支付线上技术开发费用、奖金费用、令起春城舞花间演员拍摄、评审、宣传推广的费用。</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五、主要经验及做法、存在的问题和建议</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1.主要经验及做法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上线自主开发的作品征集技术平台，并融合进活动专属“春城飞花令”小程序，方便市民参与并转发。征集页面、小程序除了投稿功能外，还复合了展示、海报模板生成、分享等互动功能，便于参与者主动转发推广，提升活动影响力。</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推出全新原创系列短视频“令起春城舞花间”，热力推荐昆明赏花热门打卡地，以舞相祝、以舞相咏，传递美好生活的如花愿景，“令起春城舞花间”系列短视频收获广泛好评，被人民网、中国日报、北京日报、澎湃新闻、云南省文旅厅、游云南、学习强国、新浪、网易等多平台转发。其中，蓝花楹、海菜花单期视频全网转发量100万+；绣球花海短视频被学习强国总网转发，播放量35.6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2.存在的问题</w:t>
      </w:r>
    </w:p>
    <w:p>
      <w:pPr>
        <w:pStyle w:val="8"/>
        <w:spacing w:line="600" w:lineRule="exact"/>
        <w:ind w:firstLine="640"/>
        <w:rPr>
          <w:rFonts w:ascii="仿宋" w:hAnsi="仿宋" w:eastAsia="仿宋" w:cs="仿宋"/>
          <w:sz w:val="32"/>
          <w:szCs w:val="32"/>
        </w:rPr>
      </w:pPr>
      <w:r>
        <w:rPr>
          <w:rFonts w:hint="eastAsia" w:ascii="仿宋" w:hAnsi="仿宋" w:eastAsia="仿宋" w:cs="仿宋"/>
          <w:sz w:val="32"/>
          <w:szCs w:val="32"/>
        </w:rPr>
        <w:t>作品征集的范围覆盖不够广，影响力有待提升，对于一些行业类的作者宣传推介不够。</w:t>
      </w:r>
    </w:p>
    <w:p>
      <w:pPr>
        <w:pStyle w:val="8"/>
        <w:spacing w:line="600" w:lineRule="exact"/>
        <w:ind w:firstLine="640"/>
        <w:rPr>
          <w:rFonts w:ascii="仿宋" w:hAnsi="仿宋" w:eastAsia="仿宋" w:cs="仿宋"/>
          <w:sz w:val="32"/>
          <w:szCs w:val="32"/>
        </w:rPr>
      </w:pPr>
      <w:r>
        <w:rPr>
          <w:rFonts w:hint="eastAsia" w:ascii="仿宋" w:hAnsi="仿宋" w:eastAsia="仿宋" w:cs="仿宋"/>
          <w:sz w:val="32"/>
          <w:szCs w:val="32"/>
        </w:rPr>
        <w:t>令起春城舞花间拍摄地覆盖不够，还有很多的赏花打卡地可以拍摄制作短视频精品，向社会推介。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3.改进措施及建议</w:t>
      </w:r>
    </w:p>
    <w:p>
      <w:pPr>
        <w:pStyle w:val="8"/>
        <w:spacing w:line="600" w:lineRule="exact"/>
        <w:ind w:firstLine="640"/>
        <w:rPr>
          <w:rFonts w:ascii="仿宋" w:hAnsi="仿宋" w:eastAsia="仿宋" w:cs="仿宋"/>
          <w:sz w:val="32"/>
          <w:szCs w:val="32"/>
        </w:rPr>
      </w:pPr>
      <w:r>
        <w:rPr>
          <w:rFonts w:hint="eastAsia" w:ascii="仿宋" w:hAnsi="仿宋" w:eastAsia="仿宋" w:cs="仿宋"/>
          <w:sz w:val="32"/>
          <w:szCs w:val="32"/>
        </w:rPr>
        <w:t>将加大面向昆明大学校园的作品征集宣传力度，将大学生群体吸引到活动参与中来，更好地推介昆明的城市魅力，持续提升活动宣传的影响力。</w:t>
      </w:r>
    </w:p>
    <w:p>
      <w:pPr>
        <w:pStyle w:val="8"/>
        <w:spacing w:line="600" w:lineRule="exact"/>
        <w:ind w:firstLineChars="0"/>
        <w:rPr>
          <w:rFonts w:ascii="仿宋" w:hAnsi="仿宋" w:eastAsia="仿宋" w:cs="仿宋"/>
          <w:sz w:val="32"/>
          <w:szCs w:val="32"/>
        </w:rPr>
      </w:pPr>
      <w:r>
        <w:rPr>
          <w:rFonts w:hint="eastAsia" w:ascii="仿宋" w:hAnsi="仿宋" w:eastAsia="仿宋" w:cs="仿宋"/>
          <w:sz w:val="32"/>
          <w:szCs w:val="32"/>
        </w:rPr>
        <w:t>在“令起春城舞花间”短视频制作中，应该加入更多的赏花打卡地推荐覆盖，制作更多样的宣传短视频。</w:t>
      </w:r>
    </w:p>
    <w:p>
      <w:pPr>
        <w:spacing w:line="600" w:lineRule="exact"/>
        <w:jc w:val="both"/>
        <w:rPr>
          <w:rFonts w:hint="default" w:cs="宋体"/>
        </w:rPr>
      </w:pPr>
      <w:r>
        <w:rPr>
          <w:rFonts w:cs="宋体"/>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pStyle w:val="15"/>
        <w:jc w:val="both"/>
        <w:rPr>
          <w:rFonts w:ascii="楷体_GB2312" w:eastAsia="楷体_GB2312" w:cs="楷体_GB2312"/>
          <w:b w:val="0"/>
        </w:rPr>
      </w:pPr>
      <w:r>
        <w:rPr>
          <w:rFonts w:ascii="楷体_GB2312" w:eastAsia="楷体_GB2312" w:cs="楷体_GB2312"/>
          <w:b w:val="0"/>
        </w:rPr>
        <w:t xml:space="preserve"> </w:t>
      </w:r>
    </w:p>
    <w:p>
      <w:pPr>
        <w:pStyle w:val="15"/>
        <w:jc w:val="both"/>
        <w:rPr>
          <w:rFonts w:hint="eastAsia" w:ascii="楷体_GB2312" w:hAnsi="楷体_GB2312" w:cs="楷体_GB2312"/>
          <w:b w:val="0"/>
        </w:rPr>
      </w:pPr>
      <w:r>
        <w:rPr>
          <w:rFonts w:hint="eastAsia" w:ascii="楷体_GB2312" w:hAnsi="楷体_GB2312" w:cs="楷体_GB2312"/>
          <w:b w:val="0"/>
        </w:rPr>
        <w:t xml:space="preserve"> </w:t>
      </w:r>
    </w:p>
    <w:p>
      <w:pPr>
        <w:pStyle w:val="15"/>
        <w:jc w:val="both"/>
        <w:rPr>
          <w:rFonts w:hint="eastAsia" w:ascii="楷体_GB2312" w:hAnsi="楷体_GB2312" w:cs="楷体_GB2312"/>
          <w:b w:val="0"/>
        </w:rPr>
      </w:pPr>
      <w:r>
        <w:rPr>
          <w:rFonts w:hint="eastAsia" w:ascii="楷体_GB2312" w:hAnsi="楷体_GB2312" w:cs="楷体_GB2312"/>
          <w:b w:val="0"/>
        </w:rPr>
        <w:t xml:space="preserve"> </w:t>
      </w:r>
    </w:p>
    <w:p>
      <w:pPr>
        <w:pStyle w:val="15"/>
        <w:jc w:val="both"/>
        <w:rPr>
          <w:rFonts w:hint="eastAsia" w:ascii="楷体_GB2312" w:hAnsi="楷体_GB2312" w:cs="楷体_GB2312"/>
          <w:b w:val="0"/>
        </w:rPr>
      </w:pPr>
      <w:r>
        <w:rPr>
          <w:rFonts w:hint="eastAsia" w:ascii="楷体_GB2312" w:hAnsi="楷体_GB2312" w:cs="楷体_GB2312"/>
          <w:b w:val="0"/>
        </w:rPr>
        <w:t xml:space="preserve"> </w:t>
      </w:r>
    </w:p>
    <w:p>
      <w:pPr>
        <w:pStyle w:val="15"/>
        <w:jc w:val="both"/>
        <w:rPr>
          <w:rFonts w:ascii="宋体" w:hAnsi="宋体" w:cs="宋体"/>
          <w:b w:val="0"/>
        </w:rPr>
      </w:pPr>
    </w:p>
    <w:p>
      <w:pPr>
        <w:pStyle w:val="15"/>
        <w:jc w:val="both"/>
        <w:rPr>
          <w:rFonts w:ascii="宋体" w:hAnsi="宋体" w:cs="宋体"/>
          <w:b w:val="0"/>
        </w:rPr>
      </w:pPr>
    </w:p>
    <w:p>
      <w:pPr>
        <w:pStyle w:val="15"/>
        <w:jc w:val="both"/>
        <w:rPr>
          <w:rFonts w:ascii="宋体" w:hAnsi="宋体" w:cs="宋体"/>
          <w:b w:val="0"/>
        </w:rPr>
      </w:pPr>
    </w:p>
    <w:p>
      <w:pPr>
        <w:pStyle w:val="15"/>
        <w:jc w:val="both"/>
        <w:rPr>
          <w:rFonts w:ascii="方正小标宋_GBK" w:hAnsi="方正小标宋_GBK" w:eastAsia="方正小标宋_GBK" w:cs="方正小标宋_GBK"/>
          <w:sz w:val="36"/>
          <w:szCs w:val="36"/>
        </w:rPr>
      </w:pPr>
      <w:r>
        <w:rPr>
          <w:rFonts w:hint="eastAsia" w:ascii="宋体" w:hAnsi="宋体" w:cs="宋体"/>
          <w:b w:val="0"/>
        </w:rPr>
        <w:t>项目七：</w:t>
      </w:r>
    </w:p>
    <w:p>
      <w:pPr>
        <w:spacing w:line="560" w:lineRule="exact"/>
        <w:jc w:val="center"/>
        <w:rPr>
          <w:rFonts w:hint="default" w:ascii="方正小标宋简体" w:hAnsi="方正小标宋简体" w:eastAsia="方正小标宋简体" w:cs="方正小标宋简体"/>
          <w:sz w:val="44"/>
          <w:szCs w:val="44"/>
        </w:rPr>
      </w:pPr>
      <w:r>
        <w:rPr>
          <w:rFonts w:cs="宋体"/>
          <w:sz w:val="44"/>
          <w:szCs w:val="44"/>
        </w:rPr>
        <w:t>《</w:t>
      </w:r>
      <w:r>
        <w:rPr>
          <w:rFonts w:ascii="方正小标宋简体" w:hAnsi="方正小标宋简体" w:eastAsia="方正小标宋简体" w:cs="方正小标宋简体"/>
          <w:sz w:val="44"/>
          <w:szCs w:val="44"/>
        </w:rPr>
        <w:t>2021</w:t>
      </w:r>
      <w:r>
        <w:rPr>
          <w:rFonts w:cs="宋体"/>
          <w:sz w:val="44"/>
          <w:szCs w:val="44"/>
        </w:rPr>
        <w:t>媒体看昆明》书籍编辑及印刷</w:t>
      </w:r>
    </w:p>
    <w:p>
      <w:pPr>
        <w:spacing w:line="560" w:lineRule="exact"/>
        <w:jc w:val="center"/>
        <w:rPr>
          <w:rFonts w:hint="default" w:ascii="方正小标宋简体" w:hAnsi="方正小标宋简体" w:eastAsia="方正小标宋简体" w:cs="方正小标宋简体"/>
          <w:sz w:val="44"/>
          <w:szCs w:val="44"/>
        </w:rPr>
      </w:pPr>
      <w:r>
        <w:rPr>
          <w:rFonts w:cs="宋体"/>
          <w:sz w:val="44"/>
          <w:szCs w:val="44"/>
        </w:rPr>
        <w:t>（党务政务信息公开新闻发布专项经费）</w:t>
      </w:r>
    </w:p>
    <w:p>
      <w:pPr>
        <w:spacing w:line="560" w:lineRule="exact"/>
        <w:jc w:val="center"/>
        <w:rPr>
          <w:rFonts w:hint="default" w:ascii="方正小标宋简体" w:hAnsi="方正小标宋简体" w:eastAsia="方正小标宋简体" w:cs="方正小标宋简体"/>
          <w:sz w:val="44"/>
          <w:szCs w:val="44"/>
        </w:rPr>
      </w:pPr>
      <w:r>
        <w:rPr>
          <w:rFonts w:cs="宋体"/>
          <w:sz w:val="44"/>
          <w:szCs w:val="44"/>
        </w:rPr>
        <w:t>项目支出绩效自评报告</w:t>
      </w:r>
    </w:p>
    <w:p>
      <w:pPr>
        <w:spacing w:line="560" w:lineRule="exact"/>
        <w:jc w:val="both"/>
        <w:rPr>
          <w:rFonts w:hint="default" w:ascii="方正小标宋_GBK" w:eastAsia="方正小标宋_GBK" w:cs="方正小标宋_GBK"/>
        </w:rPr>
      </w:pPr>
      <w:r>
        <w:rPr>
          <w:rFonts w:hint="default" w:ascii="方正小标宋_GBK" w:eastAsia="方正小标宋_GBK" w:cs="方正小标宋_GBK"/>
        </w:rPr>
        <w:t xml:space="preserve"> </w:t>
      </w:r>
    </w:p>
    <w:p>
      <w:pPr>
        <w:topLinePunct/>
        <w:spacing w:line="560" w:lineRule="exact"/>
        <w:ind w:firstLine="640" w:firstLineChars="200"/>
        <w:jc w:val="both"/>
        <w:rPr>
          <w:rFonts w:hint="default" w:ascii="黑体" w:eastAsia="黑体" w:cs="黑体"/>
          <w:sz w:val="32"/>
          <w:szCs w:val="32"/>
        </w:rPr>
      </w:pPr>
      <w:r>
        <w:rPr>
          <w:rFonts w:ascii="黑体" w:eastAsia="黑体" w:cs="黑体"/>
          <w:sz w:val="32"/>
          <w:szCs w:val="32"/>
        </w:rPr>
        <w:t>一、项目基本情况</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（一）项目概况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昆明是云南省的省会城市，是首批国家级历史文化名城。作为省内唯一的特大城市和西部地区第四大城市，它是云南省政治、经济、文化、科技、交通中心，是我国重要的旅游、商贸城市、西部地区重要的中心城市，国家一级口岸城市，亦是滇中城市群的核心圈。此外，它还是中国面向东南亚、南亚开放的门户枢纽，是中国唯一面向东盟的大都市，具有东连黔桂通沿海，北经川渝进中原，南下越老达泰柬，西接缅甸连印巴的独特区位优势。</w:t>
      </w:r>
    </w:p>
    <w:p>
      <w:pPr>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习近平总书记赴云南考察时，希望云南正确认识和把握在全国发展大局中的地位和作用，坚决贯彻党中央重大决策部署，统筹推进稳增长、促改革、调结构、惠民生、防风险、保稳定工作，努力在建设我国民族团结进步示范区、生态文明建设排头兵、面向南亚东南亚辐射中心上不断取得新进展，谱写好中国梦的云南篇章。</w:t>
      </w:r>
    </w:p>
    <w:p>
      <w:pPr>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为贯彻落实习近平总书记考察云南的重要讲话精神，进一步加大昆明对外宣传力度，充分总结昆明市外宣工作成果，拟在市委宣传部指导下，由昆明报业传媒集团（昆明日报社）负责编印《2021媒体看昆明》书籍，该书将以媒体观察视野，全方位展现昆明在疫情防控、生态文明建设、经济社会发展等方面取得的成就，进一步提升昆明城市品牌的知名度和影响力，并为各级领导和相关部门提供参考。</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于此背景，受昆明市委宣传部委托，昆明报业传媒集团（昆明日报社）于2022年4月启动《2021媒体看昆明》书籍编辑及印刷工作。</w:t>
      </w:r>
    </w:p>
    <w:p>
      <w:pPr>
        <w:topLinePunct/>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整体建设费用预计6.1万元，市财政部门专项补助6.1万元。</w:t>
      </w:r>
    </w:p>
    <w:p>
      <w:pPr>
        <w:topLinePunct/>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topLinePunct/>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2022年，昆明报业传媒集团（昆明日报社）严格按照各级规章制度认真开展预算执行和绩效跟踪工作，截至目前，总体实施情况如下：</w:t>
      </w:r>
    </w:p>
    <w:p>
      <w:pPr>
        <w:pStyle w:val="55"/>
        <w:widowControl/>
        <w:shd w:val="clear" w:color="auto" w:fill="FFFFFF"/>
        <w:autoSpaceDN w:val="0"/>
        <w:spacing w:line="560" w:lineRule="exact"/>
        <w:ind w:firstLine="562"/>
        <w:jc w:val="both"/>
        <w:rPr>
          <w:rFonts w:ascii="仿宋" w:hAnsi="仿宋" w:eastAsia="仿宋" w:cs="仿宋"/>
          <w:kern w:val="2"/>
          <w:sz w:val="32"/>
          <w:szCs w:val="32"/>
          <w:shd w:val="clear" w:color="auto" w:fill="FFFFFF"/>
        </w:rPr>
      </w:pPr>
      <w:r>
        <w:rPr>
          <w:rFonts w:hint="eastAsia" w:ascii="仿宋" w:hAnsi="仿宋" w:eastAsia="仿宋" w:cs="仿宋"/>
          <w:kern w:val="2"/>
          <w:sz w:val="32"/>
          <w:szCs w:val="32"/>
          <w:shd w:val="clear" w:color="auto" w:fill="FFFFFF"/>
        </w:rPr>
        <w:t>第一阶段（4月18日-4月29日）：邀请央级、省级、市级、港澳媒体、新媒体选送2021年全年刊发的，宣传报道昆明的稿件。</w:t>
      </w:r>
    </w:p>
    <w:p>
      <w:pPr>
        <w:pStyle w:val="55"/>
        <w:widowControl/>
        <w:shd w:val="clear" w:color="auto" w:fill="FFFFFF"/>
        <w:autoSpaceDN w:val="0"/>
        <w:spacing w:line="560" w:lineRule="exact"/>
        <w:ind w:firstLine="562"/>
        <w:jc w:val="both"/>
        <w:rPr>
          <w:rFonts w:ascii="仿宋" w:hAnsi="仿宋" w:eastAsia="仿宋" w:cs="仿宋"/>
          <w:kern w:val="2"/>
          <w:sz w:val="32"/>
          <w:szCs w:val="32"/>
          <w:shd w:val="clear" w:color="auto" w:fill="FFFFFF"/>
        </w:rPr>
      </w:pPr>
      <w:r>
        <w:rPr>
          <w:rFonts w:hint="eastAsia" w:ascii="仿宋" w:hAnsi="仿宋" w:eastAsia="仿宋" w:cs="仿宋"/>
          <w:kern w:val="2"/>
          <w:sz w:val="32"/>
          <w:szCs w:val="32"/>
          <w:shd w:val="clear" w:color="auto" w:fill="FFFFFF"/>
        </w:rPr>
        <w:t>第二阶段（5月9日-5月13日）：由市政府新闻办对媒体选送的稿件进行初筛，遴选出50-60篇稿件。</w:t>
      </w:r>
    </w:p>
    <w:p>
      <w:pPr>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第三阶段（5月16日-5月31日）由业界专家、学者等组成评委会，对遴选出的稿件进行评比，最终选出一、二、三等奖及入围奖。</w:t>
      </w:r>
    </w:p>
    <w:p>
      <w:pPr>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第四阶段：出版印刷。6月中下旬完成。</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3.资金来源及使用情况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市财政部门专项补助6.1万元，决算数6.1万元。项目完成率100%，达到年度绩效目标。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包括项目组织情况、项目实施流程、资金拨付流程。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（1）项目组织情况：昆明报业传媒集团的项目支出和绩效管理工作由项目组组长、副组长、集团办公室、出纳、会计相互协调配合、共同完成。</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流程：集团根据省、市相关工作要求，认真梳理、核定出项目预算开支统计表，严格按照各级规章制度认真开展预算执行和绩效跟踪。合同签订、资金支付符合制度规定、资料完备、程序合规。2022年项目建设工作全面完成进度目标，资金支付使用已全部完成。</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（3）资金拨付流程：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项目经费6.1万元，经过2022年初预算、执行、跟踪及决算等流程，资金已全部拨付到位。截至2022年12月，全部资金已执行完毕，执行金额6.1万元，执行完成率100%。</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1.数量指标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收集整理中央级主要媒体，即人民日报（人民网）、新华社（《新华每日电讯》、新华网）、光明日报、经济日报、中央广播电视总台（中央人民广播电台、中央电视台）、中国日报（网）、中国青年报、农民日报、中新社（《中国新闻周刊》、中新网）、工人日报、人民日报海外版等中央级主流媒体稿件。</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收集整理省级主要媒体，即云南日报、云南广播电视台（云南卫视、云南都市频道、新闻广播频道105.8，交通之声91.8）、春城晚报、云南信息报、云南经济日报、云南法制报、云南政协报等省内主流媒体稿件。</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（3）收集整理香港文汇大公报、香港商报等港澳驻昆媒体稿件。</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（4）根据实施方案，书籍页码300页，印量350册。</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2.质量指标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按照项目实施方案要求对书籍进行资料收集整理、设计编辑和排版印刷。</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3.社会效益</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通过该书加大昆明对外宣传力度，提升昆明城市品牌的知名度和影响力。</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4.可持续影响</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《媒体看昆明》已连续编印多年，致力于整体连贯性，持续提升昆明的对外宣传，形成较好的正面影响力。</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5.服务对象满意度</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服务对象及大众满意度较高。</w:t>
      </w:r>
    </w:p>
    <w:p>
      <w:pPr>
        <w:topLinePunct/>
        <w:spacing w:line="560" w:lineRule="exact"/>
        <w:ind w:firstLine="800" w:firstLineChars="250"/>
        <w:jc w:val="both"/>
        <w:rPr>
          <w:rFonts w:hint="default" w:ascii="黑体" w:eastAsia="黑体" w:cs="黑体"/>
          <w:sz w:val="32"/>
          <w:szCs w:val="32"/>
        </w:rPr>
      </w:pPr>
      <w:r>
        <w:rPr>
          <w:rFonts w:ascii="黑体" w:eastAsia="黑体" w:cs="黑体"/>
          <w:sz w:val="32"/>
          <w:szCs w:val="32"/>
        </w:rPr>
        <w:t>二、绩效评价工作情况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为强化预算绩效管理结果运用，增强支出责任，优化财政资源配置，提高财政资金使用效益，推进财政科学化精细化管理，根据市财政局绩效管理相关，进行绩效评价指标体系设计。</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包括科学规范、公开公正、绩效相关等原则。</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包括指标评价、数据采集和社会调查中所采用的方法。</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3.绩效评价实施过程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根据项目实际开展情况及第三方测评、验收情况，综合评价后得出最终结果。</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根据该项目的实施情况，结合目前各项数据积累，对项目进行分析，以形成最终报告。</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4.本次绩效评价的局限性</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社会效益指标、可持续影响指标属于长期性指标，故无法对效果和成果做定量化的评价。</w:t>
      </w:r>
    </w:p>
    <w:p>
      <w:pPr>
        <w:topLinePunct/>
        <w:spacing w:line="560" w:lineRule="exact"/>
        <w:ind w:firstLine="640" w:firstLineChars="200"/>
        <w:jc w:val="both"/>
        <w:rPr>
          <w:rFonts w:hint="default" w:ascii="黑体" w:eastAsia="黑体" w:cs="黑体"/>
          <w:sz w:val="32"/>
          <w:szCs w:val="32"/>
        </w:rPr>
      </w:pPr>
      <w:r>
        <w:rPr>
          <w:rFonts w:ascii="黑体" w:eastAsia="黑体" w:cs="黑体"/>
          <w:sz w:val="32"/>
          <w:szCs w:val="32"/>
        </w:rPr>
        <w:t>三、评价结论和绩效分析</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topLinePunct/>
        <w:spacing w:line="560" w:lineRule="exact"/>
        <w:ind w:firstLine="640" w:firstLineChars="200"/>
        <w:jc w:val="both"/>
        <w:rPr>
          <w:rFonts w:hint="default" w:ascii="仿宋" w:hAnsi="仿宋" w:eastAsia="仿宋" w:cs="仿宋"/>
          <w:sz w:val="32"/>
          <w:szCs w:val="32"/>
          <w:shd w:val="clear" w:color="auto" w:fill="FFFFFF"/>
        </w:rPr>
      </w:pPr>
      <w:r>
        <w:rPr>
          <w:rFonts w:ascii="仿宋" w:hAnsi="仿宋" w:eastAsia="仿宋" w:cs="仿宋"/>
          <w:kern w:val="2"/>
          <w:sz w:val="32"/>
          <w:szCs w:val="32"/>
          <w:shd w:val="clear" w:color="auto" w:fill="FFFFFF"/>
        </w:rPr>
        <w:t>全书的基本架构，</w:t>
      </w:r>
      <w:r>
        <w:rPr>
          <w:rFonts w:ascii="仿宋" w:hAnsi="仿宋" w:eastAsia="仿宋" w:cs="仿宋"/>
          <w:sz w:val="32"/>
          <w:szCs w:val="32"/>
          <w:shd w:val="clear" w:color="auto" w:fill="FFFFFF"/>
        </w:rPr>
        <w:t>《2021媒体看昆明》以“媒体申报，稿件初筛，专家评审”三级评审的形式，突出选取2021年各级各类媒体围绕昆明深入贯彻习近平总书记考察云南重要精神和党中央、省委决策部署，全面贯彻新发展理念，服务和融入新发展格局，推动经济社会发展和党的建设取得积极进展等方面刊发刊播的正面宣传稿件和媒体产品汇编成书。</w:t>
      </w:r>
    </w:p>
    <w:p>
      <w:pPr>
        <w:topLinePunct/>
        <w:spacing w:line="560" w:lineRule="exact"/>
        <w:ind w:firstLine="640" w:firstLineChars="200"/>
        <w:jc w:val="both"/>
        <w:rPr>
          <w:rFonts w:hint="default" w:ascii="仿宋" w:hAnsi="仿宋" w:eastAsia="仿宋" w:cs="仿宋"/>
          <w:kern w:val="2"/>
          <w:sz w:val="32"/>
          <w:szCs w:val="32"/>
          <w:shd w:val="clear" w:color="auto" w:fill="FFFFFF"/>
        </w:rPr>
      </w:pPr>
      <w:r>
        <w:rPr>
          <w:rFonts w:ascii="仿宋" w:hAnsi="仿宋" w:eastAsia="仿宋" w:cs="仿宋"/>
          <w:sz w:val="32"/>
          <w:szCs w:val="32"/>
          <w:shd w:val="clear" w:color="auto" w:fill="FFFFFF"/>
        </w:rPr>
        <w:t>同时，为充分体现“移动优先”的媒体融合发展思路，《2021媒体看昆明》将首次采用电子书的形式，将纸质图书设计制作成电子书，方便随时阅览。</w:t>
      </w:r>
    </w:p>
    <w:p>
      <w:pPr>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全书的编辑工作，突出选取了有思想、有温度、有品质的作品，在充分尊重保持原稿的同时，对入选稿件进行取舍和二次加工，用活泼多样的编辑语言和版式设计，准确、生动、全面地体现政策导向，全方位展示昆明经济社会发展成就。</w:t>
      </w:r>
    </w:p>
    <w:p>
      <w:pPr>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项目于2022年5月召开了专家评审会。经过专家评议，共评选出一等奖，二等奖，三等奖。</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autoSpaceDN w:val="0"/>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《2021媒体看昆明》以媒体观察视野，全方位展现了昆明在疫情防控、生态文明建设、经济社会发展等方面取得的成就，进一步提升了昆明城市品牌的知名度和影响力，并为各级领导和相关部门提供了参考。</w:t>
      </w:r>
    </w:p>
    <w:p>
      <w:pPr>
        <w:topLinePunct/>
        <w:spacing w:line="560" w:lineRule="exact"/>
        <w:ind w:firstLine="640" w:firstLineChars="200"/>
        <w:jc w:val="both"/>
        <w:rPr>
          <w:rFonts w:hint="default" w:ascii="黑体" w:eastAsia="黑体" w:cs="黑体"/>
          <w:sz w:val="32"/>
          <w:szCs w:val="32"/>
        </w:rPr>
      </w:pPr>
      <w:r>
        <w:rPr>
          <w:rFonts w:ascii="黑体" w:eastAsia="黑体" w:cs="黑体"/>
          <w:sz w:val="32"/>
          <w:szCs w:val="32"/>
        </w:rPr>
        <w:t>四、成本效益分析。</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对资金使用方向、资金收入和支出结构；项目和资金管理情况；资金的节约性、资金使用效果；变化趋势等进行分析评价。</w:t>
      </w:r>
    </w:p>
    <w:p>
      <w:pPr>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1.经济性分析：2022年1月至12月，财政专项拨款6.1万，项目完成比率100%，资金支付100%，完成年度绩效目标。</w:t>
      </w:r>
    </w:p>
    <w:p>
      <w:pPr>
        <w:autoSpaceDN w:val="0"/>
        <w:spacing w:line="560" w:lineRule="exac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rPr>
        <w:t>2.效益分析：通过本项目的实施,展现了昆明在疫情防控、生态文明建设、经济社会发展等方面取得的成就，进一步提升了昆明城市品牌的知名度和影响力，并为各级领导和相关部门提供了参考。</w:t>
      </w:r>
    </w:p>
    <w:p>
      <w:pPr>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shd w:val="clear" w:color="auto" w:fill="FFFFFF"/>
        </w:rPr>
        <w:t>3.服务对象满意度：根据本项目的具体实施及执行情况，对服务对象进行走访调查，总体满意度95%以上。</w:t>
      </w:r>
    </w:p>
    <w:p>
      <w:pPr>
        <w:pStyle w:val="73"/>
        <w:topLinePunct/>
        <w:spacing w:line="560" w:lineRule="exact"/>
        <w:ind w:firstLine="640"/>
        <w:jc w:val="both"/>
        <w:rPr>
          <w:rFonts w:ascii="仿宋_GB2312" w:hAnsi="仿宋" w:eastAsia="仿宋_GB2312" w:cs="仿宋_GB2312"/>
          <w:sz w:val="32"/>
          <w:szCs w:val="32"/>
        </w:rPr>
      </w:pPr>
      <w:r>
        <w:rPr>
          <w:rFonts w:hint="eastAsia" w:ascii="黑体" w:hAnsi="宋体" w:eastAsia="黑体" w:cs="黑体"/>
          <w:sz w:val="32"/>
          <w:szCs w:val="32"/>
        </w:rPr>
        <w:t>五、主要经验及做法、存在的问题和建议</w:t>
      </w:r>
    </w:p>
    <w:p>
      <w:pPr>
        <w:pStyle w:val="73"/>
        <w:topLinePunct/>
        <w:spacing w:line="560" w:lineRule="exact"/>
        <w:ind w:firstLine="640"/>
        <w:jc w:val="both"/>
        <w:rPr>
          <w:rFonts w:ascii="楷体" w:hAnsi="楷体" w:eastAsia="楷体" w:cs="楷体"/>
          <w:sz w:val="32"/>
          <w:szCs w:val="32"/>
        </w:rPr>
      </w:pPr>
      <w:r>
        <w:rPr>
          <w:rFonts w:hint="eastAsia" w:ascii="楷体" w:hAnsi="楷体" w:eastAsia="楷体" w:cs="楷体"/>
          <w:sz w:val="32"/>
          <w:szCs w:val="32"/>
        </w:rPr>
        <w:t>（一）主要经验及做法</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要构建“预算绩效有评估、预算编制有目标、预算执行有监控、预算完成有评价、评价结果有反馈、反馈结果有应用”的“全过程”绩效管理。开展支出预算事前绩效评估，进行重点项目绩效目标跟踪监控和事后评价，才能紧密围绕项目绩效管理推进各项工作开展。</w:t>
      </w:r>
    </w:p>
    <w:p>
      <w:pPr>
        <w:pStyle w:val="73"/>
        <w:topLinePunct/>
        <w:spacing w:line="560" w:lineRule="exact"/>
        <w:ind w:firstLine="640"/>
        <w:jc w:val="both"/>
        <w:rPr>
          <w:rFonts w:ascii="楷体" w:hAnsi="楷体" w:eastAsia="楷体" w:cs="楷体"/>
          <w:sz w:val="32"/>
          <w:szCs w:val="32"/>
        </w:rPr>
      </w:pPr>
      <w:r>
        <w:rPr>
          <w:rFonts w:hint="eastAsia" w:ascii="楷体" w:hAnsi="楷体" w:eastAsia="楷体" w:cs="楷体"/>
          <w:sz w:val="32"/>
          <w:szCs w:val="32"/>
        </w:rPr>
        <w:t>（二）存在的问题</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项目组成员对绩效评价认知不足，专业能力有待进一步加强。</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（三）建议和改进措施</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2023年，将按照财政预算安排编制项目支出绩效目标，科学有序地进行绩效测算，同时进一步加强项目管理，积极与市级相关部门对接，牢固树立绩效管理理念。</w:t>
      </w:r>
    </w:p>
    <w:p>
      <w:pPr>
        <w:pStyle w:val="8"/>
        <w:ind w:firstLine="640"/>
        <w:rPr>
          <w:rFonts w:ascii="楷体_GB2312" w:eastAsia="楷体_GB2312" w:cs="楷体_GB2312"/>
          <w:sz w:val="32"/>
          <w:szCs w:val="32"/>
        </w:rPr>
      </w:pPr>
      <w:r>
        <w:rPr>
          <w:rFonts w:ascii="楷体_GB2312" w:eastAsia="楷体_GB2312" w:cs="楷体_GB2312"/>
          <w:sz w:val="32"/>
          <w:szCs w:val="32"/>
        </w:rPr>
        <w:t xml:space="preserve"> </w:t>
      </w:r>
    </w:p>
    <w:p>
      <w:pPr>
        <w:pStyle w:val="8"/>
        <w:ind w:firstLine="640"/>
        <w:rPr>
          <w:rFonts w:ascii="楷体_GB2312" w:eastAsia="楷体_GB2312" w:cs="楷体_GB2312"/>
          <w:sz w:val="32"/>
          <w:szCs w:val="32"/>
        </w:rPr>
      </w:pPr>
      <w:r>
        <w:rPr>
          <w:rFonts w:ascii="楷体_GB2312" w:eastAsia="楷体_GB2312" w:cs="楷体_GB2312"/>
          <w:sz w:val="32"/>
          <w:szCs w:val="32"/>
        </w:rPr>
        <w:t xml:space="preserve"> </w:t>
      </w:r>
    </w:p>
    <w:p>
      <w:pPr>
        <w:pStyle w:val="15"/>
        <w:jc w:val="both"/>
        <w:rPr>
          <w:rFonts w:hint="eastAsia" w:ascii="楷体_GB2312" w:hAnsi="楷体_GB2312" w:cs="楷体_GB2312"/>
          <w:b w:val="0"/>
        </w:rPr>
      </w:pPr>
      <w:r>
        <w:rPr>
          <w:rFonts w:hint="eastAsia" w:ascii="楷体_GB2312" w:hAnsi="楷体_GB2312" w:cs="楷体_GB2312"/>
          <w:b w:val="0"/>
        </w:rPr>
        <w:t xml:space="preserve"> </w:t>
      </w:r>
    </w:p>
    <w:p>
      <w:pPr>
        <w:pStyle w:val="15"/>
        <w:jc w:val="both"/>
        <w:rPr>
          <w:rFonts w:ascii="宋体" w:hAnsi="宋体" w:cs="宋体"/>
          <w:b w:val="0"/>
        </w:rPr>
      </w:pPr>
    </w:p>
    <w:p>
      <w:pPr>
        <w:pStyle w:val="15"/>
        <w:jc w:val="both"/>
        <w:rPr>
          <w:rFonts w:ascii="宋体" w:hAnsi="宋体" w:cs="宋体"/>
          <w:b w:val="0"/>
        </w:rPr>
      </w:pPr>
    </w:p>
    <w:p>
      <w:pPr>
        <w:pStyle w:val="15"/>
        <w:jc w:val="both"/>
        <w:rPr>
          <w:rFonts w:ascii="楷体_GB2312" w:eastAsia="楷体_GB2312" w:cs="楷体_GB2312"/>
          <w:b w:val="0"/>
        </w:rPr>
      </w:pPr>
      <w:r>
        <w:rPr>
          <w:rFonts w:hint="eastAsia" w:ascii="宋体" w:hAnsi="宋体" w:cs="宋体"/>
          <w:b w:val="0"/>
        </w:rPr>
        <w:t>项目八：</w:t>
      </w:r>
    </w:p>
    <w:p>
      <w:pPr>
        <w:spacing w:line="660" w:lineRule="exact"/>
        <w:jc w:val="center"/>
        <w:rPr>
          <w:rFonts w:hint="default" w:ascii="方正小标宋简体" w:hAnsi="方正小标宋简体" w:eastAsia="方正小标宋简体" w:cs="方正小标宋简体"/>
          <w:sz w:val="44"/>
          <w:szCs w:val="44"/>
        </w:rPr>
      </w:pPr>
      <w:r>
        <w:rPr>
          <w:rFonts w:cs="宋体"/>
          <w:sz w:val="44"/>
          <w:szCs w:val="44"/>
        </w:rPr>
        <w:t>《演艺昆明》多媒体平台运营建设及</w:t>
      </w:r>
    </w:p>
    <w:p>
      <w:pPr>
        <w:spacing w:line="660" w:lineRule="exact"/>
        <w:jc w:val="center"/>
        <w:rPr>
          <w:rFonts w:hint="default" w:ascii="方正小标宋简体" w:hAnsi="方正小标宋简体" w:eastAsia="方正小标宋简体" w:cs="方正小标宋简体"/>
          <w:sz w:val="44"/>
          <w:szCs w:val="44"/>
        </w:rPr>
      </w:pPr>
      <w:r>
        <w:rPr>
          <w:rFonts w:cs="宋体"/>
          <w:sz w:val="44"/>
          <w:szCs w:val="44"/>
        </w:rPr>
        <w:t>特刊发行项目</w:t>
      </w:r>
    </w:p>
    <w:p>
      <w:pPr>
        <w:spacing w:line="660" w:lineRule="exact"/>
        <w:jc w:val="both"/>
        <w:rPr>
          <w:rFonts w:hint="default" w:ascii="仿宋" w:hAnsi="仿宋" w:eastAsia="仿宋" w:cs="仿宋"/>
          <w:b/>
          <w:kern w:val="44"/>
          <w:sz w:val="32"/>
          <w:szCs w:val="32"/>
        </w:rPr>
      </w:pPr>
      <w:r>
        <w:rPr>
          <w:rFonts w:ascii="仿宋" w:hAnsi="仿宋" w:eastAsia="仿宋" w:cs="仿宋"/>
          <w:b/>
          <w:kern w:val="44"/>
          <w:sz w:val="32"/>
          <w:szCs w:val="32"/>
        </w:rPr>
        <w:t xml:space="preserve"> </w:t>
      </w:r>
    </w:p>
    <w:p>
      <w:pPr>
        <w:spacing w:line="660" w:lineRule="exact"/>
        <w:ind w:firstLine="640" w:firstLineChars="200"/>
        <w:jc w:val="both"/>
        <w:rPr>
          <w:rFonts w:hint="default" w:ascii="黑体" w:eastAsia="黑体" w:cs="黑体"/>
          <w:sz w:val="32"/>
          <w:szCs w:val="32"/>
        </w:rPr>
      </w:pPr>
      <w:r>
        <w:rPr>
          <w:rFonts w:ascii="黑体" w:eastAsia="黑体" w:cs="黑体"/>
          <w:kern w:val="44"/>
          <w:sz w:val="32"/>
          <w:szCs w:val="32"/>
        </w:rPr>
        <w:t>一、</w:t>
      </w:r>
      <w:r>
        <w:rPr>
          <w:rFonts w:ascii="黑体" w:eastAsia="黑体" w:cs="黑体"/>
          <w:sz w:val="32"/>
          <w:szCs w:val="32"/>
        </w:rPr>
        <w:t>项目基本情况</w:t>
      </w:r>
    </w:p>
    <w:p>
      <w:pPr>
        <w:pStyle w:val="73"/>
        <w:topLinePunct/>
        <w:spacing w:line="560" w:lineRule="exact"/>
        <w:ind w:firstLine="640"/>
        <w:jc w:val="both"/>
        <w:rPr>
          <w:rFonts w:ascii="楷体" w:hAnsi="楷体" w:eastAsia="楷体" w:cs="楷体"/>
          <w:kern w:val="2"/>
          <w:sz w:val="32"/>
          <w:szCs w:val="32"/>
        </w:rPr>
      </w:pPr>
      <w:r>
        <w:rPr>
          <w:rFonts w:hint="eastAsia" w:ascii="楷体" w:hAnsi="楷体" w:eastAsia="楷体" w:cs="楷体"/>
          <w:kern w:val="2"/>
          <w:sz w:val="32"/>
          <w:szCs w:val="32"/>
        </w:rPr>
        <w:t>（一）项目概况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十三五”时期昆明文艺事业开创新局面、蓬勃发展呈现百花齐放、生机勃勃的繁荣景象，一批文艺精品力作在国内斩获大奖，一批优秀文艺人才走向全国，一批文艺品牌在全国产生广泛影响。“本土化、多元化、特色化”的创作氛围的同时，倡导文艺新风尚，全面提升文艺工作者队伍职业道德素质，大力推进演艺领域行风建设，提高大众审美，推动文艺娱乐行业健康发展。</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聚合鲜活演艺力量，诠释优秀先锋文化。《演艺昆明》由中共昆明市委宣传部主办，昆明报业传媒集团·都市时报承办，献礼在昆明举办的《生物多样性公约》缔约方大会第十五次会议。拥有高颜值与高品质的《演艺昆明》将聚焦昆明，放眼全国，线上线下融合，深挖演艺内核，引领昆明文艺新风，打造昆明演艺先锋秀场。</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呈现国际视野、昆明大观、品质演艺的《演艺昆明》是一份有温度、有深度的演艺类月刊。同时，《演艺昆明》还将打造新媒体矩阵，以微信生态系统为主阵地，开设服务号+微视频，以及“今日头条”账号，聚焦本地行业发展、聚力主流内容生产、聚合便捷的服务功能。线上线下融合的《演艺昆明》将大力推进演艺行业发展，滋养人民的精神文化生活，为昆明文艺的百花园带来馥郁芬芳。</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演艺昆明特刊》使用简洁的四开读本设计，年轻时尚的设计风格，175克超滑面纸张的高级质感，呈现线下阵地,每期印刷3000份，预计发行13-15期（完成周期2021年10月-2022年12月）。包含演艺指引、文艺演出、文艺创作、文艺视野四大板块，从音乐、舞蹈、乐器、电影等文化艺术类别中，遴选出具有较高艺术、文化价值、演艺特色的群众文艺、精品文艺、舞台文艺，对其进行深度挖掘，让春城市民能多层次、多角度地享受多元化的文艺生活，引领昆明文艺新风，打造昆明演艺先锋秀场。</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围绕昆明市的文化文艺工作主线，聚焦本地行业发展、聚力主流内容生产、聚合便捷服务功能，以微信生态系统为主阵地，同时结合z时代用户习惯，在微信生态圈开设服务号+微视频，以及今日头条开设账号，实现内容与用户的分类分层运营。</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3.资金来源及使用情况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申请昆明市文艺精品创作专项扶持资金40万元。项目完成率100%，达到年度绩效目标。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包括项目组织情况、项目实施流程、资金拨付流程。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（1）项目组织情况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《演艺昆明》多媒体平台运营建设及特刊发行项目由中共昆明市委宣传部主办，昆明报业传媒集团承办。</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（2）项目实施流程</w:t>
      </w:r>
    </w:p>
    <w:p>
      <w:pPr>
        <w:ind w:firstLine="640" w:firstLineChars="200"/>
        <w:jc w:val="both"/>
        <w:rPr>
          <w:rFonts w:hint="default" w:ascii="仿宋" w:hAnsi="仿宋" w:eastAsia="仿宋" w:cs="仿宋"/>
          <w:sz w:val="32"/>
          <w:szCs w:val="32"/>
        </w:rPr>
      </w:pPr>
      <w:r>
        <w:rPr>
          <w:rFonts w:ascii="仿宋" w:hAnsi="仿宋" w:eastAsia="仿宋" w:cs="仿宋"/>
          <w:sz w:val="32"/>
          <w:szCs w:val="32"/>
        </w:rPr>
        <w:t>《演艺昆明》特刊全年计划发行13-14期，每月10日进行每月3日前召开策划会，围绕栏目定位对 内容进行梳理，确定重点选题。安排记者采访；每月15日截稿；每月15日-20日为编辑排版、校对、终审阶段；每月20日左右进厂印刷，28日前完成印刷，进入投递发行阶段。</w:t>
      </w:r>
    </w:p>
    <w:p>
      <w:pPr>
        <w:pStyle w:val="8"/>
        <w:ind w:firstLine="640"/>
        <w:rPr>
          <w:rFonts w:ascii="仿宋" w:hAnsi="仿宋" w:eastAsia="仿宋" w:cs="仿宋"/>
          <w:sz w:val="32"/>
          <w:szCs w:val="32"/>
        </w:rPr>
      </w:pPr>
      <w:r>
        <w:rPr>
          <w:rFonts w:hint="eastAsia" w:ascii="仿宋" w:hAnsi="仿宋" w:eastAsia="仿宋" w:cs="仿宋"/>
          <w:sz w:val="32"/>
          <w:szCs w:val="32"/>
        </w:rPr>
        <w:t>《演艺昆明》微信公众号每周一推，内容生产方面与线下产品相辅相成，更加注重内容的时效性、完整性与互动性，视频号每周一更，其他平台随时更新。</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（3）资金拨付流程：</w:t>
      </w:r>
    </w:p>
    <w:p>
      <w:pPr>
        <w:pStyle w:val="8"/>
        <w:ind w:firstLine="640"/>
        <w:rPr>
          <w:rFonts w:ascii="仿宋" w:hAnsi="仿宋" w:eastAsia="仿宋" w:cs="仿宋"/>
          <w:sz w:val="32"/>
          <w:szCs w:val="32"/>
        </w:rPr>
      </w:pPr>
      <w:r>
        <w:rPr>
          <w:rFonts w:hint="eastAsia" w:ascii="仿宋" w:hAnsi="仿宋" w:eastAsia="仿宋" w:cs="仿宋"/>
          <w:sz w:val="32"/>
          <w:szCs w:val="32"/>
        </w:rPr>
        <w:t>项目经费40万，经过2022年初预算、执行、跟踪及决算等流程，资金已全部拨付到位。截至2022年12月，全部资金已执行完毕，执行金额40万元，执行完成率100%。</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1.总目标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近年来，昆明文艺事业开创新局面、蓬勃发展呈现百花齐放、生机勃勃的繁荣景象，一批文艺精品力作在国内斩获大奖，一批优秀文艺人才走向全国，一批文艺品牌在全国产生广泛影响。</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演艺昆明》多媒体平台运营建设及特刊发行项目围绕“本土化、多元化、特色化”的主题，结合线上新媒体平台、线下特刊等相关宣传活动，倡导文艺新风尚，全面提升文艺工作者队伍职业道德素质，大力推进演艺领域行风建设，提高大众审美，推动文艺娱乐行业健康发展。</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topLinePunct/>
        <w:spacing w:line="560" w:lineRule="exact"/>
        <w:ind w:firstLine="640" w:firstLineChars="200"/>
        <w:jc w:val="both"/>
        <w:rPr>
          <w:rFonts w:hint="default" w:ascii="仿宋" w:hAnsi="仿宋" w:eastAsia="仿宋" w:cs="仿宋"/>
        </w:rPr>
      </w:pPr>
      <w:r>
        <w:rPr>
          <w:rFonts w:ascii="仿宋" w:hAnsi="仿宋" w:eastAsia="仿宋" w:cs="仿宋"/>
          <w:sz w:val="32"/>
          <w:szCs w:val="32"/>
        </w:rPr>
        <w:t>《演艺昆明》多媒体平台运营建设及特刊发行项目计划在今年内完成预定的特刊采编、印刷和发行。在新媒体平台上完成预定的更新、维护工作。深入解读何为“精‘艺’求精”，全方位、系统化、多角度、有影响的对昆明市文艺领域发展进行集中展示。为各级政府领导、行业企业提供决策参考，提供文化供给、文化消费、文艺演出、文艺精品创作新趋势及动态观察、行业解读，为本地文艺领域发展提供新思路，挖掘和推荐优秀案例，搭建政府与行业、政府与企业、企业与企业、企业与个体之间有效的信息传播通道，为政府部门、业界人士提供了较好的引导和服务。</w:t>
      </w:r>
    </w:p>
    <w:p>
      <w:pPr>
        <w:topLinePunct/>
        <w:spacing w:line="560" w:lineRule="exact"/>
        <w:ind w:firstLine="640" w:firstLineChars="200"/>
        <w:jc w:val="both"/>
        <w:rPr>
          <w:rFonts w:hint="default" w:ascii="黑体" w:eastAsia="黑体" w:cs="黑体"/>
          <w:sz w:val="32"/>
          <w:szCs w:val="32"/>
        </w:rPr>
      </w:pPr>
      <w:r>
        <w:rPr>
          <w:rFonts w:ascii="黑体" w:eastAsia="黑体" w:cs="黑体"/>
          <w:sz w:val="32"/>
          <w:szCs w:val="32"/>
        </w:rPr>
        <w:t>二、绩效评价工作情况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snapToGrid w:val="0"/>
        <w:spacing w:line="600" w:lineRule="exact"/>
        <w:ind w:firstLine="640" w:firstLineChars="200"/>
        <w:jc w:val="both"/>
        <w:rPr>
          <w:rFonts w:hint="default" w:ascii="仿宋_GB2312" w:eastAsia="仿宋_GB2312" w:cs="仿宋_GB2312"/>
          <w:sz w:val="32"/>
          <w:szCs w:val="32"/>
        </w:rPr>
      </w:pPr>
      <w:r>
        <w:rPr>
          <w:rFonts w:ascii="仿宋" w:hAnsi="仿宋" w:eastAsia="仿宋" w:cs="仿宋"/>
          <w:sz w:val="32"/>
          <w:szCs w:val="32"/>
        </w:rPr>
        <w:t>通过本次绩效评价，全面了解项目决策、过程、产出和效益等情况，评价财政资金使用绩效，找出存在的问题和原因，提出建设性意见建议，进一步规范资金分配和使用，并将绩效评价结果作为编报下年预算、改进加强管理、完善政策的重要依据，进一步提高资金使用效益。</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1.前期调研</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调研,对相关文件的解读，根据绩效评价的基本原理、原则和项目特点，结合绩效目标，由绩效评价小组按确定的评价指标体系、评分标准、评价方法和相关的工作程序和步骤，在规定的时间节点内开展绩效评价工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2.绩效评价指标体系及工作方案的设计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绩效评价证据收集方法包括了研究、分析项目预算部门提供的相关文件；整理、汇总项目预算单位提供的项目资料、工作总结和合同；根据预算部门提供的基础数据表逐项进行核实。根据上述方法，从项目的立项合理性，目标的明确性，预算的准确性和管理制度的合规性等方面，对评价对象进行绩效评价。</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(1)科学规范。绩效评价注重财政支出的经济性、效率性和有效性，严格执行规定的程序，采用定量与定性分析相结合的方法。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(2)公正公开。绩效评价客观、公正，标准统一、资料可靠，依法公开。</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(3)绩效相关。绩效评价针对具体支出及其产出绩效进行评价,结果清晰反映支出和产出绩效之间的紧密对应关系。</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本次主要采用因素分析法，采取数据对比，标准和抽样调查相结合，同时辅以问卷抽查、资料研究等方法。</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（四）绩效评价实施过程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中华人民共和国预算法》《昆明市预算绩效管理暂行办法》（昆政办〔2013〕129号）等有关规定，结合部门职能职责，对照项目目标和实际完成情况，由单位分管领导牵头，各项目实施部门具体负责项目评价工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绩效评价围绕绩效目标的设定、资金投入和使用、为实现绩效目标制定的制度、采取的措施、绩效目标的实现程度及效果等方面内容开展自评。</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（五）本次绩效评价的局限性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本次项目评价由具体执行部门进行，依靠财政等有关部门和单位的指导，评价专业性不够，具有一定的局限性。</w:t>
      </w:r>
    </w:p>
    <w:p>
      <w:pPr>
        <w:widowControl w:val="0"/>
        <w:numPr>
          <w:ilvl w:val="0"/>
          <w:numId w:val="1"/>
        </w:numPr>
        <w:topLinePunct/>
        <w:spacing w:line="560" w:lineRule="exact"/>
        <w:ind w:firstLine="800" w:firstLineChars="250"/>
        <w:jc w:val="both"/>
        <w:rPr>
          <w:rFonts w:hint="default" w:ascii="黑体" w:eastAsia="黑体" w:cs="黑体"/>
          <w:sz w:val="32"/>
          <w:szCs w:val="32"/>
        </w:rPr>
      </w:pPr>
      <w:r>
        <w:rPr>
          <w:rFonts w:ascii="黑体" w:eastAsia="黑体" w:cs="黑体"/>
          <w:sz w:val="32"/>
          <w:szCs w:val="32"/>
        </w:rPr>
        <w:t>评价结论和绩效分析</w:t>
      </w:r>
    </w:p>
    <w:p>
      <w:pPr>
        <w:topLinePunct/>
        <w:spacing w:line="56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（一）评价结论</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项目绩效目标根据部门绩效目标制定，真实有效地反映了部门的职能，并且绩效可考核。项目资金使用有效合理，有严格的财务及内控制度把关，没有超出预算范围使用的情况发生。项目绩效指标及时完成并且完成情况良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完成《演艺昆明》特刊采编、制作及发行13-14期，建设运营3个线上平台，策划组织14个宣传活动。各现场平台按时按质按量完成推送，线上平台累计浏览量约20万人，特刊读者数量约3万余人，影响力逐步提升。</w:t>
      </w:r>
    </w:p>
    <w:p>
      <w:pPr>
        <w:topLinePunct/>
        <w:spacing w:line="44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（二）具体绩效分析</w:t>
      </w:r>
    </w:p>
    <w:tbl>
      <w:tblPr>
        <w:tblStyle w:val="16"/>
        <w:tblW w:w="0" w:type="auto"/>
        <w:tblInd w:w="0" w:type="dxa"/>
        <w:tblLayout w:type="fixed"/>
        <w:tblCellMar>
          <w:top w:w="0" w:type="dxa"/>
          <w:left w:w="108" w:type="dxa"/>
          <w:bottom w:w="0" w:type="dxa"/>
          <w:right w:w="108" w:type="dxa"/>
        </w:tblCellMar>
      </w:tblPr>
      <w:tblGrid>
        <w:gridCol w:w="436"/>
        <w:gridCol w:w="1006"/>
        <w:gridCol w:w="1149"/>
        <w:gridCol w:w="3222"/>
        <w:gridCol w:w="1391"/>
        <w:gridCol w:w="1318"/>
      </w:tblGrid>
      <w:tr>
        <w:tblPrEx>
          <w:tblCellMar>
            <w:top w:w="0" w:type="dxa"/>
            <w:left w:w="108" w:type="dxa"/>
            <w:bottom w:w="0" w:type="dxa"/>
            <w:right w:w="108" w:type="dxa"/>
          </w:tblCellMar>
        </w:tblPrEx>
        <w:trPr>
          <w:trHeight w:val="1120" w:hRule="atLeast"/>
        </w:trPr>
        <w:tc>
          <w:tcPr>
            <w:tcW w:w="4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绩</w:t>
            </w:r>
            <w:r>
              <w:rPr>
                <w:rFonts w:cs="宋体"/>
                <w:sz w:val="22"/>
                <w:szCs w:val="22"/>
              </w:rPr>
              <w:br w:type="textWrapping"/>
            </w:r>
            <w:r>
              <w:rPr>
                <w:rFonts w:cs="宋体"/>
                <w:sz w:val="22"/>
                <w:szCs w:val="22"/>
              </w:rPr>
              <w:t>效</w:t>
            </w:r>
            <w:r>
              <w:rPr>
                <w:rFonts w:cs="宋体"/>
                <w:sz w:val="22"/>
                <w:szCs w:val="22"/>
              </w:rPr>
              <w:br w:type="textWrapping"/>
            </w:r>
            <w:r>
              <w:rPr>
                <w:rFonts w:cs="宋体"/>
                <w:sz w:val="22"/>
                <w:szCs w:val="22"/>
              </w:rPr>
              <w:t>指</w:t>
            </w:r>
            <w:r>
              <w:rPr>
                <w:rFonts w:cs="宋体"/>
                <w:sz w:val="22"/>
                <w:szCs w:val="22"/>
              </w:rPr>
              <w:br w:type="textWrapping"/>
            </w:r>
            <w:r>
              <w:rPr>
                <w:rFonts w:cs="宋体"/>
                <w:sz w:val="22"/>
                <w:szCs w:val="22"/>
              </w:rPr>
              <w:t>标</w:t>
            </w:r>
          </w:p>
        </w:tc>
        <w:tc>
          <w:tcPr>
            <w:tcW w:w="100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0"/>
                <w:szCs w:val="20"/>
              </w:rPr>
            </w:pPr>
            <w:r>
              <w:rPr>
                <w:rFonts w:cs="宋体"/>
                <w:sz w:val="20"/>
                <w:szCs w:val="20"/>
              </w:rPr>
              <w:t>一级</w:t>
            </w:r>
            <w:r>
              <w:rPr>
                <w:rFonts w:cs="宋体"/>
                <w:sz w:val="20"/>
                <w:szCs w:val="20"/>
              </w:rPr>
              <w:br w:type="textWrapping"/>
            </w:r>
            <w:r>
              <w:rPr>
                <w:rFonts w:cs="宋体"/>
                <w:sz w:val="20"/>
                <w:szCs w:val="20"/>
              </w:rPr>
              <w:t>指标</w:t>
            </w:r>
          </w:p>
        </w:tc>
        <w:tc>
          <w:tcPr>
            <w:tcW w:w="1149"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二级指标</w:t>
            </w: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三级指标</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指标值</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评价</w:t>
            </w:r>
          </w:p>
        </w:tc>
      </w:tr>
      <w:tr>
        <w:tblPrEx>
          <w:tblCellMar>
            <w:top w:w="0" w:type="dxa"/>
            <w:left w:w="108" w:type="dxa"/>
            <w:bottom w:w="0" w:type="dxa"/>
            <w:right w:w="108" w:type="dxa"/>
          </w:tblCellMar>
        </w:tblPrEx>
        <w:trPr>
          <w:trHeight w:val="84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产</w:t>
            </w:r>
            <w:r>
              <w:rPr>
                <w:rFonts w:cs="宋体"/>
                <w:sz w:val="22"/>
                <w:szCs w:val="22"/>
              </w:rPr>
              <w:br w:type="textWrapping"/>
            </w:r>
            <w:r>
              <w:rPr>
                <w:rFonts w:cs="宋体"/>
                <w:sz w:val="22"/>
                <w:szCs w:val="22"/>
              </w:rPr>
              <w:t>出</w:t>
            </w:r>
            <w:r>
              <w:rPr>
                <w:rFonts w:cs="宋体"/>
                <w:sz w:val="22"/>
                <w:szCs w:val="22"/>
              </w:rPr>
              <w:br w:type="textWrapping"/>
            </w:r>
            <w:r>
              <w:rPr>
                <w:rFonts w:cs="宋体"/>
                <w:sz w:val="22"/>
                <w:szCs w:val="22"/>
              </w:rPr>
              <w:t>指</w:t>
            </w:r>
            <w:r>
              <w:rPr>
                <w:rFonts w:cs="宋体"/>
                <w:sz w:val="22"/>
                <w:szCs w:val="22"/>
              </w:rPr>
              <w:br w:type="textWrapping"/>
            </w:r>
            <w:r>
              <w:rPr>
                <w:rFonts w:cs="宋体"/>
                <w:sz w:val="22"/>
                <w:szCs w:val="22"/>
              </w:rPr>
              <w:t>标</w:t>
            </w:r>
          </w:p>
        </w:tc>
        <w:tc>
          <w:tcPr>
            <w:tcW w:w="1149" w:type="dxa"/>
            <w:vMerge w:val="restart"/>
            <w:tcBorders>
              <w:top w:val="nil"/>
              <w:left w:val="nil"/>
              <w:bottom w:val="nil"/>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数量指标</w:t>
            </w: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《演艺昆明》特刊采编、制作及发行</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13-14期</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13期</w:t>
            </w:r>
          </w:p>
        </w:tc>
      </w:tr>
      <w:tr>
        <w:tblPrEx>
          <w:tblCellMar>
            <w:top w:w="0" w:type="dxa"/>
            <w:left w:w="108" w:type="dxa"/>
            <w:bottom w:w="0" w:type="dxa"/>
            <w:right w:w="108" w:type="dxa"/>
          </w:tblCellMar>
        </w:tblPrEx>
        <w:trPr>
          <w:trHeight w:val="84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149" w:type="dxa"/>
            <w:vMerge w:val="continue"/>
            <w:tcBorders>
              <w:top w:val="nil"/>
              <w:left w:val="nil"/>
              <w:bottom w:val="nil"/>
              <w:right w:val="single" w:color="000000" w:sz="4" w:space="0"/>
            </w:tcBorders>
            <w:shd w:val="clear" w:color="auto" w:fill="auto"/>
            <w:vAlign w:val="center"/>
          </w:tcPr>
          <w:p>
            <w:pPr>
              <w:rPr>
                <w:rFonts w:hint="default" w:ascii="Times New Roman" w:hAnsi="Times New Roman"/>
                <w:sz w:val="20"/>
                <w:szCs w:val="20"/>
              </w:rPr>
            </w:pP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《演艺昆明》多媒体平台建设运营</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≧3个线上平台</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3个线上平台</w:t>
            </w:r>
          </w:p>
        </w:tc>
      </w:tr>
      <w:tr>
        <w:tblPrEx>
          <w:tblCellMar>
            <w:top w:w="0" w:type="dxa"/>
            <w:left w:w="108" w:type="dxa"/>
            <w:bottom w:w="0" w:type="dxa"/>
            <w:right w:w="108" w:type="dxa"/>
          </w:tblCellMar>
        </w:tblPrEx>
        <w:trPr>
          <w:trHeight w:val="80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149" w:type="dxa"/>
            <w:vMerge w:val="continue"/>
            <w:tcBorders>
              <w:top w:val="nil"/>
              <w:left w:val="nil"/>
              <w:bottom w:val="nil"/>
              <w:right w:val="single" w:color="000000" w:sz="4" w:space="0"/>
            </w:tcBorders>
            <w:shd w:val="clear" w:color="auto" w:fill="auto"/>
            <w:vAlign w:val="center"/>
          </w:tcPr>
          <w:p>
            <w:pPr>
              <w:rPr>
                <w:rFonts w:hint="default" w:ascii="Times New Roman" w:hAnsi="Times New Roman"/>
                <w:sz w:val="20"/>
                <w:szCs w:val="20"/>
              </w:rPr>
            </w:pP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《演艺昆明》宣传活动数量</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≧10个</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14个</w:t>
            </w:r>
          </w:p>
        </w:tc>
      </w:tr>
      <w:tr>
        <w:tblPrEx>
          <w:tblCellMar>
            <w:top w:w="0" w:type="dxa"/>
            <w:left w:w="108" w:type="dxa"/>
            <w:bottom w:w="0" w:type="dxa"/>
            <w:right w:w="108" w:type="dxa"/>
          </w:tblCellMar>
        </w:tblPrEx>
        <w:trPr>
          <w:trHeight w:val="80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149" w:type="dxa"/>
            <w:vMerge w:val="restart"/>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质量指标</w:t>
            </w: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《演艺昆明》微信服务号运营推送完成率</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≧90%</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100%</w:t>
            </w:r>
          </w:p>
        </w:tc>
      </w:tr>
      <w:tr>
        <w:tblPrEx>
          <w:tblCellMar>
            <w:top w:w="0" w:type="dxa"/>
            <w:left w:w="108" w:type="dxa"/>
            <w:bottom w:w="0" w:type="dxa"/>
            <w:right w:w="108" w:type="dxa"/>
          </w:tblCellMar>
        </w:tblPrEx>
        <w:trPr>
          <w:trHeight w:val="84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149" w:type="dxa"/>
            <w:vMerge w:val="continue"/>
            <w:tcBorders>
              <w:top w:val="single" w:color="000000" w:sz="4" w:space="0"/>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《演艺昆明》视频号运营推送完成率</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≧90%</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100%</w:t>
            </w:r>
          </w:p>
        </w:tc>
      </w:tr>
      <w:tr>
        <w:tblPrEx>
          <w:tblCellMar>
            <w:top w:w="0" w:type="dxa"/>
            <w:left w:w="108" w:type="dxa"/>
            <w:bottom w:w="0" w:type="dxa"/>
            <w:right w:w="108" w:type="dxa"/>
          </w:tblCellMar>
        </w:tblPrEx>
        <w:trPr>
          <w:trHeight w:val="84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149" w:type="dxa"/>
            <w:vMerge w:val="continue"/>
            <w:tcBorders>
              <w:top w:val="single" w:color="000000" w:sz="4" w:space="0"/>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《演艺昆明》今日头条号推送完成率</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≧90%</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100%</w:t>
            </w:r>
          </w:p>
        </w:tc>
      </w:tr>
      <w:tr>
        <w:tblPrEx>
          <w:tblCellMar>
            <w:top w:w="0" w:type="dxa"/>
            <w:left w:w="108" w:type="dxa"/>
            <w:bottom w:w="0" w:type="dxa"/>
            <w:right w:w="108" w:type="dxa"/>
          </w:tblCellMar>
        </w:tblPrEx>
        <w:trPr>
          <w:trHeight w:val="84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149" w:type="dxa"/>
            <w:vMerge w:val="continue"/>
            <w:tcBorders>
              <w:top w:val="single" w:color="000000" w:sz="4" w:space="0"/>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《演艺昆明》特刊采编、制作以及发行完成率</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≧90%</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100%</w:t>
            </w:r>
          </w:p>
        </w:tc>
      </w:tr>
      <w:tr>
        <w:tblPrEx>
          <w:tblCellMar>
            <w:top w:w="0" w:type="dxa"/>
            <w:left w:w="108" w:type="dxa"/>
            <w:bottom w:w="0" w:type="dxa"/>
            <w:right w:w="108" w:type="dxa"/>
          </w:tblCellMar>
        </w:tblPrEx>
        <w:trPr>
          <w:trHeight w:val="84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149"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成本指标</w:t>
            </w: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项目预算控制数</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≦40万元</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40万元</w:t>
            </w:r>
          </w:p>
        </w:tc>
      </w:tr>
      <w:tr>
        <w:tblPrEx>
          <w:tblCellMar>
            <w:top w:w="0" w:type="dxa"/>
            <w:left w:w="108" w:type="dxa"/>
            <w:bottom w:w="0" w:type="dxa"/>
            <w:right w:w="108" w:type="dxa"/>
          </w:tblCellMar>
        </w:tblPrEx>
        <w:trPr>
          <w:trHeight w:val="105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效</w:t>
            </w:r>
            <w:r>
              <w:rPr>
                <w:rFonts w:cs="宋体"/>
                <w:sz w:val="22"/>
                <w:szCs w:val="22"/>
              </w:rPr>
              <w:br w:type="textWrapping"/>
            </w:r>
            <w:r>
              <w:rPr>
                <w:rFonts w:cs="宋体"/>
                <w:sz w:val="22"/>
                <w:szCs w:val="22"/>
              </w:rPr>
              <w:t>益</w:t>
            </w:r>
            <w:r>
              <w:rPr>
                <w:rFonts w:cs="宋体"/>
                <w:sz w:val="22"/>
                <w:szCs w:val="22"/>
              </w:rPr>
              <w:br w:type="textWrapping"/>
            </w:r>
            <w:r>
              <w:rPr>
                <w:rFonts w:cs="宋体"/>
                <w:sz w:val="22"/>
                <w:szCs w:val="22"/>
              </w:rPr>
              <w:t>指</w:t>
            </w:r>
            <w:r>
              <w:rPr>
                <w:rFonts w:cs="宋体"/>
                <w:sz w:val="22"/>
                <w:szCs w:val="22"/>
              </w:rPr>
              <w:br w:type="textWrapping"/>
            </w:r>
            <w:r>
              <w:rPr>
                <w:rFonts w:cs="宋体"/>
                <w:sz w:val="22"/>
                <w:szCs w:val="22"/>
              </w:rPr>
              <w:t>标</w:t>
            </w:r>
          </w:p>
        </w:tc>
        <w:tc>
          <w:tcPr>
            <w:tcW w:w="1149"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社会效益指标</w:t>
            </w: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《演艺昆明》线上平台累计浏览量</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≧10万余人次</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约20万余人次</w:t>
            </w:r>
          </w:p>
        </w:tc>
      </w:tr>
      <w:tr>
        <w:tblPrEx>
          <w:tblCellMar>
            <w:top w:w="0" w:type="dxa"/>
            <w:left w:w="108" w:type="dxa"/>
            <w:bottom w:w="0" w:type="dxa"/>
            <w:right w:w="108" w:type="dxa"/>
          </w:tblCellMar>
        </w:tblPrEx>
        <w:trPr>
          <w:trHeight w:val="825"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149"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《演艺昆明》特刊读者数量</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≧1万余人次</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约3万人次</w:t>
            </w:r>
          </w:p>
        </w:tc>
      </w:tr>
      <w:tr>
        <w:tblPrEx>
          <w:tblCellMar>
            <w:top w:w="0" w:type="dxa"/>
            <w:left w:w="108" w:type="dxa"/>
            <w:bottom w:w="0" w:type="dxa"/>
            <w:right w:w="108" w:type="dxa"/>
          </w:tblCellMar>
        </w:tblPrEx>
        <w:trPr>
          <w:trHeight w:val="825"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149"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社会影响力</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逐步提升</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逐步提升</w:t>
            </w:r>
          </w:p>
        </w:tc>
      </w:tr>
      <w:tr>
        <w:tblPrEx>
          <w:tblCellMar>
            <w:top w:w="0" w:type="dxa"/>
            <w:left w:w="108" w:type="dxa"/>
            <w:bottom w:w="0" w:type="dxa"/>
            <w:right w:w="108" w:type="dxa"/>
          </w:tblCellMar>
        </w:tblPrEx>
        <w:trPr>
          <w:trHeight w:val="825"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00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满意度指标</w:t>
            </w:r>
          </w:p>
        </w:tc>
        <w:tc>
          <w:tcPr>
            <w:tcW w:w="1149"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服务对象</w:t>
            </w:r>
            <w:r>
              <w:rPr>
                <w:rFonts w:cs="宋体"/>
                <w:sz w:val="22"/>
                <w:szCs w:val="22"/>
              </w:rPr>
              <w:br w:type="textWrapping"/>
            </w:r>
            <w:r>
              <w:rPr>
                <w:rFonts w:cs="宋体"/>
                <w:sz w:val="22"/>
                <w:szCs w:val="22"/>
              </w:rPr>
              <w:t>满意度指标</w:t>
            </w:r>
          </w:p>
        </w:tc>
        <w:tc>
          <w:tcPr>
            <w:tcW w:w="32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读者、公众满意度</w:t>
            </w:r>
          </w:p>
        </w:tc>
        <w:tc>
          <w:tcPr>
            <w:tcW w:w="1391"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≧95%</w:t>
            </w:r>
          </w:p>
        </w:tc>
        <w:tc>
          <w:tcPr>
            <w:tcW w:w="131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95%</w:t>
            </w:r>
          </w:p>
        </w:tc>
      </w:tr>
    </w:tbl>
    <w:p>
      <w:pPr>
        <w:topLinePunct/>
        <w:spacing w:line="440" w:lineRule="exact"/>
        <w:ind w:firstLine="640" w:firstLineChars="200"/>
        <w:jc w:val="both"/>
        <w:rPr>
          <w:rFonts w:hint="default" w:ascii="黑体" w:eastAsia="黑体" w:cs="黑体"/>
          <w:sz w:val="32"/>
          <w:szCs w:val="32"/>
        </w:rPr>
      </w:pPr>
      <w:r>
        <w:rPr>
          <w:rFonts w:ascii="黑体" w:eastAsia="黑体" w:cs="黑体"/>
          <w:sz w:val="32"/>
          <w:szCs w:val="32"/>
        </w:rPr>
        <w:t>四、成本效益分析</w:t>
      </w:r>
    </w:p>
    <w:p>
      <w:pPr>
        <w:spacing w:line="4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对资金使用方向、资金收入和支出结构；项目和资金管理情况；资金的节约性、资金使用效果；变化趋势等进行分析评价。</w:t>
      </w:r>
    </w:p>
    <w:p>
      <w:pPr>
        <w:spacing w:line="4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1.经济性分析：2022年1月至12月，财政专项拨款40万，项目完成比率100%，资金支付100%，完成年度绩效目标。</w:t>
      </w:r>
    </w:p>
    <w:p>
      <w:pPr>
        <w:spacing w:line="4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2.效益分析：通过本项目的实施,展现了昆明在文艺精品、文艺建设等方面取得的成就，进一步提升了昆明城市品牌的知名度和影响力，并为各级领导和相关部门提供了参考。</w:t>
      </w:r>
    </w:p>
    <w:p>
      <w:pPr>
        <w:spacing w:line="4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3.服务对象满意度：根据本项目的具体实施及执行情况，对服务对象进行走访调查，总体满意度95%以上。</w:t>
      </w:r>
    </w:p>
    <w:p>
      <w:pPr>
        <w:spacing w:line="460" w:lineRule="exact"/>
        <w:ind w:firstLine="640" w:firstLineChars="200"/>
        <w:jc w:val="both"/>
        <w:rPr>
          <w:rFonts w:hint="default" w:ascii="黑体" w:eastAsia="黑体" w:cs="黑体"/>
          <w:sz w:val="32"/>
          <w:szCs w:val="32"/>
        </w:rPr>
      </w:pPr>
      <w:r>
        <w:rPr>
          <w:rFonts w:ascii="黑体" w:eastAsia="黑体" w:cs="黑体"/>
          <w:sz w:val="32"/>
          <w:szCs w:val="32"/>
        </w:rPr>
        <w:t>五、主要经验及做法、存在的问题和建议</w:t>
      </w:r>
    </w:p>
    <w:p>
      <w:pPr>
        <w:spacing w:line="4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（一）主要经验及做法</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要构建“预算绩效有评估、预算编制有目标、预算执行有监控、预算完成有评价、评价结果有反馈、反馈结果有应用”的“全过程”绩效管理。开展支出预算事前绩效评估，进行重点项目绩效目标跟踪监控和事后评价，才能紧密围绕项目绩效管理推进各项工作开展。</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（二）存在的问题</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项目组成员对绩效评价认知不足，专业能力有待进一步加强。</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（三）建议和改进措施</w:t>
      </w:r>
    </w:p>
    <w:p>
      <w:pPr>
        <w:topLinePunct/>
        <w:spacing w:line="560" w:lineRule="exact"/>
        <w:ind w:firstLine="640" w:firstLineChars="200"/>
        <w:jc w:val="both"/>
        <w:rPr>
          <w:rFonts w:hint="default" w:ascii="仿宋_GB2312" w:eastAsia="仿宋_GB2312" w:cs="仿宋_GB2312"/>
          <w:sz w:val="32"/>
          <w:szCs w:val="32"/>
        </w:rPr>
      </w:pPr>
      <w:r>
        <w:rPr>
          <w:rFonts w:ascii="仿宋" w:hAnsi="仿宋" w:eastAsia="仿宋" w:cs="仿宋"/>
          <w:sz w:val="32"/>
          <w:szCs w:val="32"/>
        </w:rPr>
        <w:t>2023年，将按照财政预算安排编制项目支出绩效目标，科学有序地进行绩效测算，同时进一步加强项目管理，积极与市级相关部门对接，牢固树立绩效管理理念。</w:t>
      </w:r>
    </w:p>
    <w:p>
      <w:pPr>
        <w:rPr>
          <w:rFonts w:hint="default" w:cs="宋体"/>
          <w:sz w:val="32"/>
          <w:szCs w:val="32"/>
        </w:rPr>
        <w:sectPr>
          <w:footerReference r:id="rId3" w:type="default"/>
          <w:pgSz w:w="11906" w:h="16838"/>
          <w:pgMar w:top="1440" w:right="1800" w:bottom="1440" w:left="1800" w:header="851" w:footer="992" w:gutter="0"/>
          <w:cols w:space="0" w:num="1"/>
          <w:docGrid w:type="lines" w:linePitch="312" w:charSpace="0"/>
        </w:sectPr>
      </w:pPr>
    </w:p>
    <w:p>
      <w:pPr>
        <w:jc w:val="both"/>
        <w:rPr>
          <w:rFonts w:hint="default" w:ascii="方正小标宋简体" w:hAnsi="方正小标宋简体" w:eastAsia="方正小标宋简体" w:cs="方正小标宋简体"/>
          <w:sz w:val="44"/>
          <w:szCs w:val="44"/>
        </w:rPr>
      </w:pPr>
      <w:r>
        <w:rPr>
          <w:rFonts w:cs="宋体"/>
          <w:sz w:val="32"/>
          <w:szCs w:val="32"/>
        </w:rPr>
        <w:t>项目九：</w:t>
      </w:r>
    </w:p>
    <w:p>
      <w:pPr>
        <w:spacing w:line="600" w:lineRule="exact"/>
        <w:jc w:val="center"/>
        <w:rPr>
          <w:rFonts w:hint="default" w:ascii="方正小标宋简体" w:hAnsi="方正小标宋简体" w:cs="宋体"/>
          <w:sz w:val="44"/>
          <w:szCs w:val="44"/>
        </w:rPr>
      </w:pPr>
      <w:r>
        <w:rPr>
          <w:rFonts w:cs="宋体"/>
          <w:sz w:val="44"/>
          <w:szCs w:val="44"/>
        </w:rPr>
        <w:t>昆明市</w:t>
      </w:r>
      <w:r>
        <w:rPr>
          <w:rFonts w:ascii="方正小标宋简体" w:hAnsi="方正小标宋简体" w:eastAsia="方正小标宋简体" w:cs="方正小标宋简体"/>
          <w:sz w:val="44"/>
          <w:szCs w:val="44"/>
        </w:rPr>
        <w:t>“</w:t>
      </w:r>
      <w:r>
        <w:rPr>
          <w:rFonts w:cs="宋体"/>
          <w:sz w:val="44"/>
          <w:szCs w:val="44"/>
        </w:rPr>
        <w:t>当好排头兵</w:t>
      </w:r>
      <w:r>
        <w:rPr>
          <w:rFonts w:ascii="方正小标宋简体" w:hAnsi="方正小标宋简体" w:eastAsia="方正小标宋简体" w:cs="方正小标宋简体"/>
          <w:sz w:val="44"/>
          <w:szCs w:val="44"/>
        </w:rPr>
        <w:t>”</w:t>
      </w:r>
      <w:r>
        <w:rPr>
          <w:rFonts w:cs="宋体"/>
          <w:sz w:val="44"/>
          <w:szCs w:val="44"/>
        </w:rPr>
        <w:t>大竞赛活动</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展陈布展项目支出绩效自评报告</w:t>
      </w:r>
    </w:p>
    <w:p>
      <w:pPr>
        <w:topLinePunct/>
        <w:spacing w:line="440" w:lineRule="exact"/>
        <w:ind w:firstLine="600" w:firstLineChars="250"/>
        <w:jc w:val="both"/>
        <w:rPr>
          <w:rFonts w:hint="default" w:ascii="黑体" w:eastAsia="黑体" w:cs="黑体"/>
        </w:rPr>
      </w:pPr>
      <w:r>
        <w:rPr>
          <w:rFonts w:ascii="黑体" w:eastAsia="黑体" w:cs="黑体"/>
        </w:rPr>
        <w:t xml:space="preserve"> </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一、项目基本情况</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（一）项目概况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立项背景：为深入学习贯彻习近平总书记考察云南重要讲话精神，认真落实省委、省政府对昆明当好全省经济社会发展排头兵的重要部署，市委、市政府决定在全市开展“当好排头兵”大讨论大竞赛活动。昆明日报社根据中共昆明市委办公室、昆明市人民政府办公室关于印发《昆明市开展“当好排头兵”大竞赛活动实施方案》的通知，重点围绕产业强省建设、一流营商环境建设、创新发展和改革开放、城市建设管理、坚持人民至上增进民生福祉、激励干部队伍干事创业激情等六个方面，负责做好昆明市“当好排头兵”大竞赛活动“晒成绩”展陈布展等工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目的：坚持以习近平新时代中国特色社会主义思想为指导，全面贯彻落实党的十九大和十九届历次全会精神，深入学习贯彻习近平总书记考察云南重要讲话精神，认真贯彻落实省第十一次党代会和市第十二次党代会、市委十二届二次全会精神，突出问题导向、目标导向、结果导向，在学习讨论中统一思想、找准症结、提振精神，在比武竞赛中激发干劲、奋发攻坚、争创一流，激励全市广大党员干部惊醒起来、振作起来、行动起来，进一步增强实干精神、表率意识，深入推进作风革命、效能革命，重点围绕产业强省建设、一流营商环境建设、创新发展和改革开放、城市建设管理、坚持人民至上增进民生福祉、激励干部队伍干事创业激情“六个方面”当好全省排头兵，奋力推动高质量发展，以优异成绩迎接党的二十大胜利召开。</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昆明市“当好排头兵”大竞赛活动“晒成绩”展陈布展围绕“六个方面”当好排头兵的重要部署，聚焦产业发展、营商环境建设、创新发展和改革开放、城市建设管理、增进民生福祉，突出产业发展、招商引资、项目建设，量化、细化具体工作指标，以图文结合的形式，分类别、分层次展示全市每个季度大竞赛成绩。通过大竞赛“晒成绩”的方式，传导压力、学习先进、督促后进、激发干劲，带动全市党员干部拿出超常的干劲、举措、力度，大抓产业发展、大抓营商环境、大抓市场主体、大抓改革开放、大抓创新发展、大抓绿色发展，形成比学赶超的良好氛围，全面推动经济社会高质量发展。</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3.资金来源及使用情况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该项目资金来源于财政项目工作经费，共计34.8万元。截至2022年底，所有项目经费已投入到活动举办的各项工作中。</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项目组织情况：在市委宣传部、市委办、市政府办的指导下，昆明日报社根据《昆明市开展“当好排头兵” 大竞赛活动实施方案》《“当好排头兵”大竞赛活动第一季度考评成绩展示工作任务清单》等要求，全力以赴，加班加点做好昆明市“当好排头兵”大竞赛活动“晒成绩”展陈布展等工作，具体包括全案整体概念创意设计及文案全体系创作、展陈布展撤展等。</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实施流程：2022年4月，昆明日报社成立临时工作组，通过招投标、采购（急需）等程序，负责做好昆明市“当好排头兵”大竞赛活动“晒成绩”展陈布展等工作内容。展陈布展工作分三个季度开展，每个季度展陈布展工作具体包括：全案整体概念创意设计及文案全体系创作、展陈布展撤展等。整个展陈项目内容包括引领部分、前言部分、主体部分、结语部分4个板块，其中主体部分围绕产业发展竞赛、招商引资竞赛、营商环境竞赛、创新发展和改革开放竞赛、城市建设管理竞赛、增进民生福祉竞赛共设置8个展板，重点突出产业发展竞赛和招商引资竞赛两个部分；引领部分、前言部分、结语部分各设置1个展板，合计11个展板。具体实施情况如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（1）2022年4月21日：拟定展陈布展总体构架；现场踏勘昆明会堂布展场地；提出初步布展设计方案并按程序报审。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（2）2022年4月22日：开展项目竞争性磋商，选定展陈布展供应商。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（3）2022年4月23日至24日：发布成交通知书，公示展陈布展中标供应商，完成展陈布展整体概念创意设计及文案全体系创作小样并报审。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（4）2022年4月25日至26日：完成首次展陈布展设计、展陈布展、验收和撤展工作。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（5）2022年8月13至16日：完成第三季度展陈布展设计、展陈布展、验收和撤展工作。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（6）2022年12月4日-9日：完成第四季度展陈布展设计、展陈布展、验收和撤展工作。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资金拨付流程：昆明市“当好排头兵”大竞赛活动“晒成绩”展陈布展项目资金为财政资金，由市财政零余额账户拨付。</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1.总目标</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为深入学习贯彻习近平总书记考察云南重要讲话精神，认真落实省委、省政府对昆明当好全省经济社会发展排头兵的重要部署，市委、市政府决定在全市开展“当好排头兵”大讨论大竞赛活动。昆明日报社根据中共昆明市委办公室、昆明市人民政府办公室关于印发《昆明市开展“当好排头兵”大竞赛活动实施方案》的通知，重点围绕产业强省建设、一流营商环境建设、创新发展和改革开放、城市建设管理、坚持人民至上增进民生福祉、激励干部队伍干事创业激情“六个方面，负责做好昆明市“当好排头兵”大竞赛活动“晒成绩”展陈布展等工作。</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产出目标：昆明市“当好排头兵”大竞赛活动“晒成绩”展陈布展工作将分三个季度开展展陈布展工作，每个季度展陈布展工作包括：全案整体概念创意设计及文案全体系创作，展陈布展等，其中，展陈布展包括引领部分、前言部分、主体部分、结语部分4个板块组成。主体部分围绕产业发展竞赛、招商引资竞赛、营商环境竞赛、创新发展和改革开放竞赛、城市建设管理竞赛、增进民生福祉竞赛共设置8个展板；引领部分、前言部分、结语部分各设置1个展板，合计11个展板。</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效果目标：通过大竞赛“晒成绩”的方式，传导压力、学习先进、督促后进、激发干劲，激励全市干部队伍干事创业激情“六个方面”当好全省排头兵，奋力推动高质量发展，以优异成绩迎接党的二十大胜利召开。同时带动全市党员干部拿出超常的干劲、举措、力度，大抓产业发展、大抓营商环境、大抓市场主体、大抓改革开放、大抓创新发展、大抓绿色发展，形成比学赶超的良好氛围，全面推动经济社会高质量发展。</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二、绩效评价工作情况</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全面了解项目管理过程是否规范、产出目标是否完成以及效果目标是否实现等方面的内容，总结经验，查找不足，为项目在以后年度的开展提供可行性参考建议。在此基础上，重点分析项目预算编制的合理性、成本支出的真实性和控制有效性，评价财政资金的使用效率和效果，为以后年度编制项目预算、选择项目实施主体等提供参考依据。</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昆明市“当好排头兵”大竞赛活动“晒成绩”展陈布展政治性强、时间紧、任务重、标准高，各级有关部门深化认识、高度重视，切实提高政治站位，把展陈布展作为一项重要任务，摆在突出位置，列入重要议事日程，进一步细化工作方案，明确职责分工，强化安全意识，高标准高质量完成各项任务。展陈布展以比武竞赛的方式，激发干劲、奋发攻坚、争创一流，激励全市广大党员干部惊醒起来、振作起来、行动起来，进一步增强实干精神、表率意识，深入推进作风革命、效能革命，重点围绕产业强省建设、一流营商环境建设、创新发展和改革开放、城市建设管理、坚持人民至上增进民生福祉、激励干部队伍干事创业激情“六个方面”当好全省排头兵，奋力推动高质量发展，以优异成绩迎接党的二十大胜利召开。项目预算编制合理，成本支出真实，控制有效，对财政资金的使用效率高，效果明显。</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1.前期调研</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前期，项目临时工作组多次集中研究、讨论展陈布展的展览形式及展览内容，与市委办公室、市政府办公室、市委目督办、市政府目督办、市发展改革委、市工业和信息化局、市教育体育局、市科技局、市人力资源和社会保障局、市自然资源规划局、市住房和城乡建设局、市商务局、市文化和旅游局、市卫生健康委、市市场监管局、市统计局、市医保局、市城市管理局、市滇池管理局、市政务服务局、市投资促进局组织相关资料，经多次易稿，确定布展设计方案。与此同时，前往昆明会堂考察、研究展陈布展方案。</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2.研究文件</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中共昆明市委、昆明市人民政府印发的《昆明市开展“当好排头兵”大讨论大竞赛活动工作方案》；中共昆明市委办公室 昆明市人民政府办公室印发的《昆明市开展“当好排头兵”大竞赛活动实施方案》。</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绩效评价指标体系包含产出指标、效益指标、满意度指标3个一级指标。其中，产出指标下设数量指标、质量指标、时效指标3个二级指标；效益指标下设社会效益指标、可持续影响指标2个二级指标；满意度指标下设服务对象满意度指标。</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昆明市开展“当好排头兵”大讨论大竞赛活动工作方案》主要包含竞赛内容、工作要求2个部分。其中竞赛内容包括产业发展竞赛、招商引资竞赛、营商环境竞赛、创新发展和改革开放竞赛、城市建设管理竞赛、增进民生福祉竞赛六个方面的内容。</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一是科学规范原则；该项目绩效评价严格遵循既定程序，科学可行；</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二是公开公正原则；该项目绩效评价公开公正；</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三是分级分类原则；该项目根据评价对象特点进行了分类组织实施；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四是绩效相关原则。该项目公开公平公正，媒体进行了公开报道，组织全市广大党员干部集中参观学习。</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定量指标与定性指标相结合</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（四）绩效评价实施过程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1.数据填报和采集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该项目数据填报和采集均由专人负责，建立台账并附有佐证资料。</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2.社会调查</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该项目在绩效评价实施过程中进行了充分的社会调查。</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3.数据分析和撰写报告</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该项目进行了科学合理的数据分析，撰写了报告：展陈布展以比武竞赛的方式，激发干劲、奋发攻坚、争创一流，激励全市广大党员干部惊醒起来、振作起来、行动起来，进一步增强实干精神、表率意识，深入推进作风革命、效能革命，重点围绕产业强省建设、一流营商环境建设、创新发展和改革开放、城市建设管理、坚持人民至上增进民生福祉、激励干部队伍干事创业激情“六个方面”当好全省排头兵，奋力推动高质量发展，以优异成绩迎接党的二十大胜利召开。项目预算编制合理，成本支出真实，控制有效，对财政资金的使用效率高，效果明显。</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（五）本次绩效评价的局限性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本次绩效评价定量指标与定性指标相结合，其中，时间紧、任务重，布展的时效性无法明确保证。</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三、评价结论和绩效分析</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adjustRightInd w:val="0"/>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（1）展陈内容丰富</w:t>
      </w:r>
    </w:p>
    <w:p>
      <w:pPr>
        <w:adjustRightInd w:val="0"/>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昆明市“当好排头兵”大竞赛活动“晒成绩”展陈布展项目按季度进行展示，每季度展示共11个展板，连续三个季度亮出“成绩单”。展陈布展涉及引领、前言、主体、结语四个部分，其中引领部分、前言部分、结语部分各设置1个展板，主体部分围绕产业发展竞赛、招商引资竞赛、营商环境竞赛、创新发展和改革开放竞赛、城市建设管理竞赛、增进民生福祉竞赛共设置8个展板，重点突出产业发展竞赛和招商引资竞赛两个部分，以及各县（市）区、开发（度假）区各季度工作开展情况及取得的成效。</w:t>
      </w:r>
    </w:p>
    <w:p>
      <w:pPr>
        <w:adjustRightInd w:val="0"/>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（2）展陈效果好</w:t>
      </w:r>
    </w:p>
    <w:p>
      <w:pPr>
        <w:adjustRightInd w:val="0"/>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昆明市“当好排头兵”大竞赛活动展陈内容</w:t>
      </w:r>
      <w:r>
        <w:rPr>
          <w:rFonts w:ascii="仿宋" w:hAnsi="仿宋" w:eastAsia="仿宋" w:cs="仿宋"/>
          <w:sz w:val="32"/>
          <w:szCs w:val="32"/>
          <w:shd w:val="clear" w:color="auto" w:fill="FFFFFF"/>
        </w:rPr>
        <w:t>包括2022年前三季度竞赛成绩总排名、乡镇（街道）竞赛成绩排名、2022年前三季度主要经济指标完成情况以及产业发展、招商引资、营商环境建设、创新发展和改革开放、城市建设管理、增进民生福祉等竞赛的各分项排名和细化指标。“大竞赛”成绩主要以图表的形式进行展示。在部分展板上，竞赛排名前三位的用红色背景展示，竞赛排名后三位的用灰色背景展示，是名副其实的“红黑榜”。考评结果</w:t>
      </w:r>
      <w:r>
        <w:rPr>
          <w:rFonts w:ascii="仿宋" w:hAnsi="仿宋" w:eastAsia="仿宋" w:cs="仿宋"/>
          <w:sz w:val="32"/>
          <w:szCs w:val="32"/>
        </w:rPr>
        <w:t>推进干部能上能下常态化，为昆明市“当好排头兵”大竞赛活动营造比学赶超浓厚氛围，为完成全年目标任务奠定坚实基础。</w:t>
      </w:r>
    </w:p>
    <w:p>
      <w:pPr>
        <w:adjustRightInd w:val="0"/>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（3）社会反响好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展陈布展受到全市各级各部门和市民的高度关注，展陈期间，昆明日报重要版面刊发了《在百舸争流中奋勇争先——昆明市“当好排头兵”大竞赛活动第二季度工作推进会侧记》《全市上半年大竞赛活动成绩放榜 以思想破冰推动发展突围》《“当好排头兵”大竞赛活动前三季度成绩放榜 争时间抢进度找对策想办法 踔厉奋发努力交上合格答卷》等多篇稿件，同步在昆报头条、昆滇经济、掌上春城等新媒体平台推送相关稿件，受到了全市上下的广泛关注。其中，昆明日报单日报纸发行量超10万份，掌上春城微信公众号发布的大竞赛相关稿件平均阅读量达5000以上。稿件一经发布，就被学习强国昆明学习平台、云南网、昆明广播电视台《昆明新闻》等多家媒体转载报道。其中，昆明广播电视台《昆明新闻》发布的视频新闻《昆明市当好排头兵大竞赛活动第一季度考评结果展开展》还被其他主流媒体平台转播，达到了预期效果。</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坚持以习近平新时代中国特色社会主义思想为指导，全面贯彻落实党的十九大和十九届历次全会精神，深入学习贯彻习近平总书记考察云南重要讲话精神，认真贯彻落实省第十一次党代会和市第十二次党代会、市委十二届二次全会精神，突出问题导向、目标导向、结果导向，在学习讨论中统一思想、找准症结、提振精神，在比武竞赛中激发干劲、奋发攻坚、争创一流，激励全市广大党员干部惊醒起来、振作起来、行动起来，进一步增强实干精神、表率意识，深入推进作风革命、效能革命，重点围绕产业强省建设、一流营商环境建设、创新发展和改革开放、城市建设管理、坚持人民至上增进民生福祉、激励干部队伍干事创业激情“六个方面”当好全省排头兵，奋力推动高质量发展，以优异成绩迎接党的二十大胜利召开。</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（二）具体绩效分析</w:t>
      </w:r>
    </w:p>
    <w:p>
      <w:pPr>
        <w:pStyle w:val="72"/>
      </w:pPr>
      <w:r>
        <w:t xml:space="preserve"> </w:t>
      </w:r>
    </w:p>
    <w:tbl>
      <w:tblPr>
        <w:tblStyle w:val="16"/>
        <w:tblW w:w="0" w:type="auto"/>
        <w:tblInd w:w="372" w:type="dxa"/>
        <w:tblLayout w:type="fixed"/>
        <w:tblCellMar>
          <w:top w:w="0" w:type="dxa"/>
          <w:left w:w="0" w:type="dxa"/>
          <w:bottom w:w="0" w:type="dxa"/>
          <w:right w:w="0" w:type="dxa"/>
        </w:tblCellMar>
      </w:tblPr>
      <w:tblGrid>
        <w:gridCol w:w="575"/>
        <w:gridCol w:w="978"/>
        <w:gridCol w:w="1036"/>
        <w:gridCol w:w="2779"/>
        <w:gridCol w:w="1125"/>
        <w:gridCol w:w="763"/>
        <w:gridCol w:w="690"/>
        <w:gridCol w:w="887"/>
      </w:tblGrid>
      <w:tr>
        <w:tblPrEx>
          <w:tblCellMar>
            <w:top w:w="0" w:type="dxa"/>
            <w:left w:w="0" w:type="dxa"/>
            <w:bottom w:w="0" w:type="dxa"/>
            <w:right w:w="0" w:type="dxa"/>
          </w:tblCellMar>
        </w:tblPrEx>
        <w:trPr>
          <w:trHeight w:val="582" w:hRule="atLeast"/>
        </w:trPr>
        <w:tc>
          <w:tcPr>
            <w:tcW w:w="5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绩</w:t>
            </w:r>
            <w:r>
              <w:rPr>
                <w:rFonts w:cs="宋体"/>
                <w:sz w:val="22"/>
                <w:szCs w:val="22"/>
              </w:rPr>
              <w:br w:type="textWrapping"/>
            </w:r>
            <w:r>
              <w:rPr>
                <w:rFonts w:cs="宋体"/>
                <w:sz w:val="22"/>
                <w:szCs w:val="22"/>
              </w:rPr>
              <w:t>效</w:t>
            </w:r>
            <w:r>
              <w:rPr>
                <w:rFonts w:cs="宋体"/>
                <w:sz w:val="22"/>
                <w:szCs w:val="22"/>
              </w:rPr>
              <w:br w:type="textWrapping"/>
            </w:r>
            <w:r>
              <w:rPr>
                <w:rFonts w:cs="宋体"/>
                <w:sz w:val="22"/>
                <w:szCs w:val="22"/>
              </w:rPr>
              <w:t>指</w:t>
            </w:r>
            <w:r>
              <w:rPr>
                <w:rFonts w:cs="宋体"/>
                <w:sz w:val="22"/>
                <w:szCs w:val="22"/>
              </w:rPr>
              <w:br w:type="textWrapping"/>
            </w:r>
            <w:r>
              <w:rPr>
                <w:rFonts w:cs="宋体"/>
                <w:sz w:val="22"/>
                <w:szCs w:val="22"/>
              </w:rPr>
              <w:t>标</w:t>
            </w:r>
          </w:p>
        </w:tc>
        <w:tc>
          <w:tcPr>
            <w:tcW w:w="978"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一级指标</w:t>
            </w:r>
          </w:p>
        </w:tc>
        <w:tc>
          <w:tcPr>
            <w:tcW w:w="103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二级指标</w:t>
            </w: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三级指标</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年度</w:t>
            </w:r>
            <w:r>
              <w:rPr>
                <w:rFonts w:cs="宋体"/>
                <w:sz w:val="22"/>
                <w:szCs w:val="22"/>
              </w:rPr>
              <w:br w:type="textWrapping"/>
            </w:r>
            <w:r>
              <w:rPr>
                <w:rFonts w:cs="宋体"/>
                <w:sz w:val="22"/>
                <w:szCs w:val="22"/>
              </w:rPr>
              <w:t>指标值</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实际</w:t>
            </w:r>
            <w:r>
              <w:rPr>
                <w:rFonts w:cs="宋体"/>
                <w:sz w:val="22"/>
                <w:szCs w:val="22"/>
              </w:rPr>
              <w:br w:type="textWrapping"/>
            </w:r>
            <w:r>
              <w:rPr>
                <w:rFonts w:cs="宋体"/>
                <w:sz w:val="22"/>
                <w:szCs w:val="22"/>
              </w:rPr>
              <w:t>完成值</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分值</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得分</w:t>
            </w:r>
          </w:p>
        </w:tc>
      </w:tr>
      <w:tr>
        <w:tblPrEx>
          <w:tblCellMar>
            <w:top w:w="0" w:type="dxa"/>
            <w:left w:w="0" w:type="dxa"/>
            <w:bottom w:w="0" w:type="dxa"/>
            <w:right w:w="0" w:type="dxa"/>
          </w:tblCellMar>
        </w:tblPrEx>
        <w:trPr>
          <w:trHeight w:val="582"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产出指标</w:t>
            </w:r>
          </w:p>
        </w:tc>
        <w:tc>
          <w:tcPr>
            <w:tcW w:w="1036"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数量指标</w:t>
            </w: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指标1：连续三个季度开展展陈布展工作</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3个季度</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3</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5</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5</w:t>
            </w:r>
          </w:p>
        </w:tc>
      </w:tr>
      <w:tr>
        <w:tblPrEx>
          <w:tblCellMar>
            <w:top w:w="0" w:type="dxa"/>
            <w:left w:w="0" w:type="dxa"/>
            <w:bottom w:w="0" w:type="dxa"/>
            <w:right w:w="0" w:type="dxa"/>
          </w:tblCellMar>
        </w:tblPrEx>
        <w:trPr>
          <w:trHeight w:val="582"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036"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指标2：全案整体概念创意设计及文案全体系创作</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3个季度</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3</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r>
      <w:tr>
        <w:tblPrEx>
          <w:tblCellMar>
            <w:top w:w="0" w:type="dxa"/>
            <w:left w:w="0" w:type="dxa"/>
            <w:bottom w:w="0" w:type="dxa"/>
            <w:right w:w="0" w:type="dxa"/>
          </w:tblCellMar>
        </w:tblPrEx>
        <w:trPr>
          <w:trHeight w:val="302"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036"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指标3：展陈布展</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33个</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33</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r>
      <w:tr>
        <w:tblPrEx>
          <w:tblCellMar>
            <w:top w:w="0" w:type="dxa"/>
            <w:left w:w="0" w:type="dxa"/>
            <w:bottom w:w="0" w:type="dxa"/>
            <w:right w:w="0" w:type="dxa"/>
          </w:tblCellMar>
        </w:tblPrEx>
        <w:trPr>
          <w:trHeight w:val="1151"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036"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质量指标</w:t>
            </w: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指标1：全案整体概念创意设计及文案全体系创作符合各竞赛活动季度开展情况，版面美观、亮点突出、形式创新</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r>
      <w:tr>
        <w:tblPrEx>
          <w:tblCellMar>
            <w:top w:w="0" w:type="dxa"/>
            <w:left w:w="0" w:type="dxa"/>
            <w:bottom w:w="0" w:type="dxa"/>
            <w:right w:w="0" w:type="dxa"/>
          </w:tblCellMar>
        </w:tblPrEx>
        <w:trPr>
          <w:trHeight w:val="302"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036"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指标2：展板展示效果好</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r>
      <w:tr>
        <w:tblPrEx>
          <w:tblCellMar>
            <w:top w:w="0" w:type="dxa"/>
            <w:left w:w="0" w:type="dxa"/>
            <w:bottom w:w="0" w:type="dxa"/>
            <w:right w:w="0" w:type="dxa"/>
          </w:tblCellMar>
        </w:tblPrEx>
        <w:trPr>
          <w:trHeight w:val="721"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036"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时效指标</w:t>
            </w: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指标1：一季度“晒成绩”展陈展示</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5</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5</w:t>
            </w:r>
          </w:p>
        </w:tc>
      </w:tr>
      <w:tr>
        <w:tblPrEx>
          <w:tblCellMar>
            <w:top w:w="0" w:type="dxa"/>
            <w:left w:w="0" w:type="dxa"/>
            <w:bottom w:w="0" w:type="dxa"/>
            <w:right w:w="0" w:type="dxa"/>
          </w:tblCellMar>
        </w:tblPrEx>
        <w:trPr>
          <w:trHeight w:val="721"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036"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指标2：二季度“晒成绩”展陈展示</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5</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5</w:t>
            </w:r>
          </w:p>
        </w:tc>
      </w:tr>
      <w:tr>
        <w:tblPrEx>
          <w:tblCellMar>
            <w:top w:w="0" w:type="dxa"/>
            <w:left w:w="0" w:type="dxa"/>
            <w:bottom w:w="0" w:type="dxa"/>
            <w:right w:w="0" w:type="dxa"/>
          </w:tblCellMar>
        </w:tblPrEx>
        <w:trPr>
          <w:trHeight w:val="829"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036"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指标3：三季度“晒成绩”展陈展示</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5</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5</w:t>
            </w:r>
          </w:p>
        </w:tc>
      </w:tr>
      <w:tr>
        <w:tblPrEx>
          <w:tblCellMar>
            <w:top w:w="0" w:type="dxa"/>
            <w:left w:w="0" w:type="dxa"/>
            <w:bottom w:w="0" w:type="dxa"/>
            <w:right w:w="0" w:type="dxa"/>
          </w:tblCellMar>
        </w:tblPrEx>
        <w:trPr>
          <w:trHeight w:val="1419"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03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社会效益指标</w:t>
            </w: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指标1：激励全市干部队伍干事创业激情“六个方面”当好全省排头兵，奋力推动高质量发展，以优异成绩迎接党的二十大胜利召开。</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20</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20</w:t>
            </w:r>
          </w:p>
        </w:tc>
      </w:tr>
      <w:tr>
        <w:tblPrEx>
          <w:tblCellMar>
            <w:top w:w="0" w:type="dxa"/>
            <w:left w:w="0" w:type="dxa"/>
            <w:bottom w:w="0" w:type="dxa"/>
            <w:right w:w="0" w:type="dxa"/>
          </w:tblCellMar>
        </w:tblPrEx>
        <w:trPr>
          <w:trHeight w:val="1140"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103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可持续影响指标</w:t>
            </w: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指标1：形成比学赶超的浓厚氛围，推动昆明各项工作迈上新台阶，当好全省经济社会发展排头兵。</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r>
      <w:tr>
        <w:tblPrEx>
          <w:tblCellMar>
            <w:top w:w="0" w:type="dxa"/>
            <w:left w:w="0" w:type="dxa"/>
            <w:bottom w:w="0" w:type="dxa"/>
            <w:right w:w="0" w:type="dxa"/>
          </w:tblCellMar>
        </w:tblPrEx>
        <w:trPr>
          <w:trHeight w:val="302"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978"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满意度</w:t>
            </w:r>
            <w:r>
              <w:rPr>
                <w:rFonts w:cs="宋体"/>
                <w:sz w:val="22"/>
                <w:szCs w:val="22"/>
              </w:rPr>
              <w:br w:type="textWrapping"/>
            </w:r>
            <w:r>
              <w:rPr>
                <w:rFonts w:cs="宋体"/>
                <w:sz w:val="22"/>
                <w:szCs w:val="22"/>
              </w:rPr>
              <w:t>指标</w:t>
            </w:r>
          </w:p>
        </w:tc>
        <w:tc>
          <w:tcPr>
            <w:tcW w:w="103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服务对象满意度指标</w:t>
            </w:r>
          </w:p>
        </w:tc>
        <w:tc>
          <w:tcPr>
            <w:tcW w:w="27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指标1：全市干部队伍满意度</w:t>
            </w:r>
          </w:p>
        </w:tc>
        <w:tc>
          <w:tcPr>
            <w:tcW w:w="112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76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9</w:t>
            </w:r>
          </w:p>
        </w:tc>
      </w:tr>
      <w:tr>
        <w:tblPrEx>
          <w:tblCellMar>
            <w:top w:w="0" w:type="dxa"/>
            <w:left w:w="0" w:type="dxa"/>
            <w:bottom w:w="0" w:type="dxa"/>
            <w:right w:w="0" w:type="dxa"/>
          </w:tblCellMar>
        </w:tblPrEx>
        <w:trPr>
          <w:trHeight w:val="829"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2014"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其他要说明的事项</w:t>
            </w:r>
          </w:p>
        </w:tc>
        <w:tc>
          <w:tcPr>
            <w:tcW w:w="6244"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无</w:t>
            </w:r>
          </w:p>
        </w:tc>
      </w:tr>
      <w:tr>
        <w:tblPrEx>
          <w:tblCellMar>
            <w:top w:w="0" w:type="dxa"/>
            <w:left w:w="0" w:type="dxa"/>
            <w:bottom w:w="0" w:type="dxa"/>
            <w:right w:w="0" w:type="dxa"/>
          </w:tblCellMar>
        </w:tblPrEx>
        <w:trPr>
          <w:trHeight w:val="345"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c>
          <w:tcPr>
            <w:tcW w:w="6681"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总分</w:t>
            </w:r>
          </w:p>
        </w:tc>
        <w:tc>
          <w:tcPr>
            <w:tcW w:w="69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100</w:t>
            </w:r>
          </w:p>
        </w:tc>
        <w:tc>
          <w:tcPr>
            <w:tcW w:w="88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99</w:t>
            </w:r>
          </w:p>
        </w:tc>
      </w:tr>
      <w:tr>
        <w:tblPrEx>
          <w:tblCellMar>
            <w:top w:w="0" w:type="dxa"/>
            <w:left w:w="0" w:type="dxa"/>
            <w:bottom w:w="0" w:type="dxa"/>
            <w:right w:w="0" w:type="dxa"/>
          </w:tblCellMar>
        </w:tblPrEx>
        <w:trPr>
          <w:trHeight w:val="312" w:hRule="atLeast"/>
        </w:trPr>
        <w:tc>
          <w:tcPr>
            <w:tcW w:w="8833" w:type="dxa"/>
            <w:gridSpan w:val="8"/>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textAlignment w:val="center"/>
              <w:rPr>
                <w:rFonts w:hint="default"/>
                <w:sz w:val="22"/>
                <w:szCs w:val="22"/>
              </w:rPr>
            </w:pPr>
            <w:r>
              <w:rPr>
                <w:rFonts w:cs="宋体"/>
                <w:sz w:val="22"/>
                <w:szCs w:val="22"/>
              </w:rPr>
              <w:t>注：1.其他资金：请在“其他需要说明的事项”栏注明资金来源。</w:t>
            </w:r>
            <w:r>
              <w:rPr>
                <w:rFonts w:cs="宋体"/>
                <w:sz w:val="22"/>
                <w:szCs w:val="22"/>
              </w:rPr>
              <w:br w:type="textWrapping"/>
            </w:r>
            <w:r>
              <w:rPr>
                <w:rFonts w:cs="宋体"/>
                <w:sz w:val="22"/>
                <w:szCs w:val="22"/>
              </w:rPr>
              <w:t xml:space="preserve">    2.分值：原则上产出指标总分50分，效益指标总分30分，满意度指标总分10分。</w:t>
            </w:r>
            <w:r>
              <w:rPr>
                <w:rFonts w:cs="宋体"/>
                <w:sz w:val="22"/>
                <w:szCs w:val="22"/>
              </w:rPr>
              <w:br w:type="textWrapping"/>
            </w:r>
            <w:r>
              <w:rPr>
                <w:rFonts w:cs="宋体"/>
                <w:sz w:val="22"/>
                <w:szCs w:val="22"/>
              </w:rPr>
              <w:t xml:space="preserve">    3.自评等级：划分为4档，100-90（含）分为优、90-80（含）分为良、80-60（含）分为中、60分以下为差。</w:t>
            </w:r>
          </w:p>
        </w:tc>
      </w:tr>
      <w:tr>
        <w:tblPrEx>
          <w:tblCellMar>
            <w:top w:w="0" w:type="dxa"/>
            <w:left w:w="0" w:type="dxa"/>
            <w:bottom w:w="0" w:type="dxa"/>
            <w:right w:w="0" w:type="dxa"/>
          </w:tblCellMar>
        </w:tblPrEx>
        <w:trPr>
          <w:trHeight w:val="312" w:hRule="atLeast"/>
        </w:trPr>
        <w:tc>
          <w:tcPr>
            <w:tcW w:w="8833" w:type="dxa"/>
            <w:gridSpan w:val="8"/>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r>
      <w:tr>
        <w:tblPrEx>
          <w:tblCellMar>
            <w:top w:w="0" w:type="dxa"/>
            <w:left w:w="0" w:type="dxa"/>
            <w:bottom w:w="0" w:type="dxa"/>
            <w:right w:w="0" w:type="dxa"/>
          </w:tblCellMar>
        </w:tblPrEx>
        <w:trPr>
          <w:trHeight w:val="312" w:hRule="atLeast"/>
        </w:trPr>
        <w:tc>
          <w:tcPr>
            <w:tcW w:w="8833" w:type="dxa"/>
            <w:gridSpan w:val="8"/>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r>
      <w:tr>
        <w:tblPrEx>
          <w:tblCellMar>
            <w:top w:w="0" w:type="dxa"/>
            <w:left w:w="0" w:type="dxa"/>
            <w:bottom w:w="0" w:type="dxa"/>
            <w:right w:w="0" w:type="dxa"/>
          </w:tblCellMar>
        </w:tblPrEx>
        <w:trPr>
          <w:trHeight w:val="515" w:hRule="atLeast"/>
        </w:trPr>
        <w:tc>
          <w:tcPr>
            <w:tcW w:w="8833" w:type="dxa"/>
            <w:gridSpan w:val="8"/>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Times New Roman" w:hAnsi="Times New Roman"/>
                <w:sz w:val="20"/>
                <w:szCs w:val="20"/>
              </w:rPr>
            </w:pPr>
          </w:p>
        </w:tc>
      </w:tr>
    </w:tbl>
    <w:p>
      <w:pPr>
        <w:pStyle w:val="72"/>
      </w:pPr>
      <w:r>
        <w:t xml:space="preserve"> </w:t>
      </w:r>
    </w:p>
    <w:p>
      <w:pPr>
        <w:topLinePunct/>
        <w:spacing w:line="600" w:lineRule="exact"/>
        <w:ind w:firstLine="800" w:firstLineChars="250"/>
        <w:jc w:val="both"/>
        <w:rPr>
          <w:rFonts w:hint="default" w:ascii="黑体" w:hAnsi="Calibri" w:eastAsia="黑体" w:cs="黑体"/>
          <w:sz w:val="32"/>
          <w:szCs w:val="32"/>
        </w:rPr>
      </w:pPr>
      <w:r>
        <w:rPr>
          <w:rFonts w:ascii="黑体" w:eastAsia="黑体" w:cs="黑体"/>
          <w:sz w:val="32"/>
          <w:szCs w:val="32"/>
        </w:rPr>
        <w:t>四、成本效益分析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资金使用方向正确，收支结构合理；项目资金管理规范；资金节约性、资金使用效果明显；项目无明显变化趋势。</w:t>
      </w:r>
    </w:p>
    <w:p>
      <w:pPr>
        <w:topLinePunct/>
        <w:spacing w:line="600" w:lineRule="exact"/>
        <w:ind w:firstLine="800" w:firstLineChars="250"/>
        <w:jc w:val="both"/>
        <w:rPr>
          <w:rFonts w:hint="default" w:ascii="黑体" w:hAnsi="Calibri" w:eastAsia="黑体" w:cs="黑体"/>
          <w:sz w:val="32"/>
          <w:szCs w:val="32"/>
        </w:rPr>
      </w:pPr>
      <w:r>
        <w:rPr>
          <w:rFonts w:ascii="黑体" w:eastAsia="黑体" w:cs="黑体"/>
          <w:sz w:val="32"/>
          <w:szCs w:val="32"/>
        </w:rPr>
        <w:t>五、主要经验及做法、存在的问题和建议</w:t>
      </w:r>
    </w:p>
    <w:p>
      <w:pPr>
        <w:topLinePunct/>
        <w:spacing w:line="56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（一）主要经验及做法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加强组织领导、提高政治站位。因政治性强，时间紧、任务重、标准高，组织方深化认识、高度重视，切实提高政治站位，把展陈布展作为一项重要任务，摆在突出位置，列入重要议事日程，进一步细化工作方案，明确职责分工，强化安全意识，高标准高质量完成好各项任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2.强化统筹协调，精心组织实施。大竞赛活动展陈布展在竞赛活动组的统一组织下开展，按季度将各参赛单位的成绩与排名情况制作竞赛成绩排名公示榜，在每季度全市重点工作推进 会上进行展陈布展，展览通过一系列翔实的数据和科学的比较，形成较为完善的考评体系，最终成绩立体而实在，让人看了心服口服，营造比学赶超浓厚氛围。</w:t>
      </w:r>
    </w:p>
    <w:p>
      <w:pPr>
        <w:topLinePunct/>
        <w:spacing w:line="56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（二）存在的问题</w:t>
      </w:r>
    </w:p>
    <w:p>
      <w:pPr>
        <w:pStyle w:val="72"/>
        <w:ind w:firstLine="640" w:firstLineChars="200"/>
        <w:rPr>
          <w:rFonts w:ascii="仿宋" w:hAnsi="仿宋" w:eastAsia="仿宋" w:cs="仿宋"/>
          <w:sz w:val="32"/>
          <w:szCs w:val="32"/>
        </w:rPr>
      </w:pPr>
      <w:r>
        <w:rPr>
          <w:rFonts w:hint="eastAsia" w:ascii="仿宋" w:hAnsi="仿宋" w:eastAsia="仿宋" w:cs="仿宋"/>
          <w:sz w:val="32"/>
          <w:szCs w:val="32"/>
        </w:rPr>
        <w:t>1.由于考评数据较多，大竞赛活动展陈展板少，无法全部呈现。</w:t>
      </w:r>
    </w:p>
    <w:p>
      <w:pPr>
        <w:pStyle w:val="72"/>
        <w:ind w:firstLine="640" w:firstLineChars="200"/>
        <w:rPr>
          <w:rFonts w:ascii="仿宋" w:hAnsi="仿宋" w:eastAsia="仿宋" w:cs="仿宋"/>
          <w:sz w:val="32"/>
          <w:szCs w:val="32"/>
        </w:rPr>
      </w:pPr>
      <w:r>
        <w:rPr>
          <w:rFonts w:hint="eastAsia" w:ascii="仿宋" w:hAnsi="仿宋" w:eastAsia="仿宋" w:cs="仿宋"/>
          <w:sz w:val="32"/>
          <w:szCs w:val="32"/>
        </w:rPr>
        <w:t>2.在大竞赛活动设计中，多数为图表展现，形式单一。</w:t>
      </w:r>
    </w:p>
    <w:p>
      <w:pPr>
        <w:topLinePunct/>
        <w:spacing w:line="56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（三）建议和改进措施</w:t>
      </w:r>
    </w:p>
    <w:p>
      <w:pPr>
        <w:pStyle w:val="72"/>
        <w:ind w:firstLine="640" w:firstLineChars="200"/>
        <w:rPr>
          <w:rFonts w:ascii="仿宋" w:hAnsi="仿宋" w:eastAsia="仿宋" w:cs="仿宋"/>
          <w:sz w:val="32"/>
          <w:szCs w:val="32"/>
        </w:rPr>
      </w:pPr>
      <w:r>
        <w:rPr>
          <w:rFonts w:hint="eastAsia" w:ascii="仿宋" w:hAnsi="仿宋" w:eastAsia="仿宋" w:cs="仿宋"/>
          <w:sz w:val="32"/>
          <w:szCs w:val="32"/>
        </w:rPr>
        <w:t>在下一届大竞赛活动的组织当中，不断创新展览形式、展示内容、展示手段等，强化展览的直观性、互动性，增加多媒体等表现形式。</w:t>
      </w:r>
    </w:p>
    <w:p>
      <w:pPr>
        <w:jc w:val="both"/>
        <w:rPr>
          <w:rFonts w:hint="default" w:cs="宋体"/>
        </w:rPr>
      </w:pPr>
      <w:r>
        <w:rPr>
          <w:rFonts w:cs="宋体"/>
        </w:rPr>
        <w:br w:type="page"/>
      </w:r>
      <w:r>
        <w:rPr>
          <w:rFonts w:cs="宋体"/>
          <w:sz w:val="32"/>
          <w:szCs w:val="32"/>
        </w:rPr>
        <w:t>项目十：</w:t>
      </w:r>
    </w:p>
    <w:p>
      <w:pPr>
        <w:jc w:val="center"/>
        <w:rPr>
          <w:rFonts w:hint="default" w:ascii="方正小标宋简体" w:hAnsi="方正小标宋简体" w:eastAsia="方正小标宋简体" w:cs="方正小标宋简体"/>
          <w:sz w:val="44"/>
          <w:szCs w:val="44"/>
        </w:rPr>
      </w:pPr>
      <w:r>
        <w:rPr>
          <w:rFonts w:cs="宋体"/>
          <w:sz w:val="44"/>
          <w:szCs w:val="44"/>
        </w:rPr>
        <w:t>廉洁文化产品制作和传播项目经费</w:t>
      </w:r>
    </w:p>
    <w:p>
      <w:pPr>
        <w:jc w:val="center"/>
        <w:rPr>
          <w:rFonts w:hint="default" w:ascii="方正小标宋简体" w:hAnsi="方正小标宋简体" w:eastAsia="方正小标宋简体" w:cs="方正小标宋简体"/>
          <w:sz w:val="44"/>
          <w:szCs w:val="44"/>
        </w:rPr>
      </w:pPr>
      <w:r>
        <w:rPr>
          <w:rFonts w:cs="宋体"/>
          <w:sz w:val="44"/>
          <w:szCs w:val="44"/>
        </w:rPr>
        <w:t>支出绩效自评报告</w:t>
      </w:r>
    </w:p>
    <w:p>
      <w:pPr>
        <w:topLinePunct/>
        <w:spacing w:line="600" w:lineRule="exact"/>
        <w:jc w:val="both"/>
        <w:rPr>
          <w:rFonts w:hint="default" w:ascii="黑体" w:hAnsi="Calibri" w:eastAsia="黑体" w:cs="黑体"/>
          <w:sz w:val="32"/>
          <w:szCs w:val="32"/>
        </w:rPr>
      </w:pPr>
      <w:r>
        <w:rPr>
          <w:rFonts w:ascii="黑体" w:hAnsi="Calibri" w:eastAsia="黑体" w:cs="黑体"/>
          <w:sz w:val="32"/>
          <w:szCs w:val="32"/>
        </w:rPr>
        <w:t xml:space="preserve"> </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一、项目基本情况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（一）项目概况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ind w:firstLine="640" w:firstLineChars="200"/>
        <w:jc w:val="both"/>
        <w:rPr>
          <w:rFonts w:hint="default" w:ascii="仿宋" w:hAnsi="仿宋" w:eastAsia="仿宋" w:cs="仿宋"/>
          <w:sz w:val="32"/>
          <w:szCs w:val="32"/>
        </w:rPr>
      </w:pPr>
      <w:r>
        <w:rPr>
          <w:rFonts w:ascii="仿宋" w:hAnsi="仿宋" w:eastAsia="仿宋" w:cs="仿宋"/>
          <w:sz w:val="32"/>
          <w:szCs w:val="32"/>
        </w:rPr>
        <w:t>反腐败是最彻底的自我革命，纪检监察队伍是推进党的自我革命的重要力量。面向新时代新征程，纪检监察机关宣传部门必须以更加强烈的政治自觉和历史主动，深入学习贯彻习近平总书记关于党的自我革命的战略思想，胸怀大局、把握大势、着眼大事，与时俱进做好纪检监察宣传工作，为坚定不移推进党的自我革命和深化全面从严治党提供坚强保障，为营造山清水秀的政治生态提供舆论滋养和能量。</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ind w:firstLine="640" w:firstLineChars="200"/>
        <w:jc w:val="both"/>
        <w:rPr>
          <w:rFonts w:hint="default" w:ascii="仿宋" w:hAnsi="仿宋" w:eastAsia="仿宋" w:cs="仿宋"/>
          <w:sz w:val="32"/>
          <w:szCs w:val="32"/>
        </w:rPr>
      </w:pPr>
      <w:r>
        <w:rPr>
          <w:rFonts w:ascii="仿宋" w:hAnsi="仿宋" w:eastAsia="仿宋" w:cs="仿宋"/>
          <w:sz w:val="32"/>
          <w:szCs w:val="32"/>
        </w:rPr>
        <w:t>项目实施以来，不断提升“清风春城”微公号品质，使得“清风春城”品牌成为全市纪检监察成果的重要发布平台，不断加大“清风春城”微公号的辐射面、传播力和影响力；加强“清风春城”官方微博的日常运行维护，使得官微成为市纪委市监委日常工作的展示窗口，提升纪检监察宣传工作的传播指数和影响力；做稳《昆明纪检监察》周刊，设置“权威消息、以案说纪、基层动态、昆纪时评、纪检人镜头”等栏目，通过文字、图片、评论、漫画等形式，发挥纸媒传统优势效应，提升全市纪检监察工作宣传新格局。</w:t>
      </w:r>
    </w:p>
    <w:p>
      <w:pPr>
        <w:ind w:firstLine="640" w:firstLineChars="200"/>
        <w:jc w:val="both"/>
        <w:rPr>
          <w:rFonts w:hint="default" w:ascii="仿宋" w:hAnsi="仿宋" w:eastAsia="仿宋" w:cs="仿宋"/>
          <w:sz w:val="32"/>
          <w:szCs w:val="32"/>
        </w:rPr>
      </w:pPr>
      <w:r>
        <w:rPr>
          <w:rFonts w:ascii="仿宋" w:hAnsi="仿宋" w:eastAsia="仿宋" w:cs="仿宋"/>
          <w:sz w:val="32"/>
          <w:szCs w:val="32"/>
        </w:rPr>
        <w:t>3.资金来源及使用情况</w:t>
      </w:r>
    </w:p>
    <w:p>
      <w:pPr>
        <w:ind w:firstLine="640" w:firstLineChars="200"/>
        <w:jc w:val="both"/>
        <w:rPr>
          <w:rFonts w:hint="default" w:ascii="仿宋" w:hAnsi="仿宋" w:eastAsia="仿宋" w:cs="仿宋"/>
          <w:sz w:val="32"/>
          <w:szCs w:val="32"/>
        </w:rPr>
      </w:pPr>
      <w:r>
        <w:rPr>
          <w:rFonts w:ascii="仿宋" w:hAnsi="仿宋" w:eastAsia="仿宋" w:cs="仿宋"/>
          <w:sz w:val="32"/>
          <w:szCs w:val="32"/>
        </w:rPr>
        <w:t>项目资金来源为财政拨款，预算资金83万元于2022年8月拨付到位，全部用于廉洁文化产品制作和传播项目经费支出。</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ind w:firstLine="640" w:firstLineChars="200"/>
        <w:jc w:val="both"/>
        <w:rPr>
          <w:rFonts w:hint="default" w:ascii="仿宋" w:hAnsi="仿宋" w:eastAsia="仿宋" w:cs="仿宋"/>
          <w:sz w:val="32"/>
          <w:szCs w:val="32"/>
        </w:rPr>
      </w:pPr>
      <w:r>
        <w:rPr>
          <w:rFonts w:ascii="仿宋" w:hAnsi="仿宋" w:eastAsia="仿宋" w:cs="仿宋"/>
          <w:sz w:val="32"/>
          <w:szCs w:val="32"/>
        </w:rPr>
        <w:t>项目组织情况：项目由昆明日报社统筹安排专职记者、编辑、信息员等，严格实施新闻采写规范制度、三审三校出版制度进行。</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项目实施流程：选题策划——选题审核——稿件采访——编辑——排版——审核——印刷——发行。</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资金拨付流程：资金拨付严格按照财务资金使用规范和昆明日报社财务管理相关流程执行。</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1.总目标</w:t>
      </w:r>
    </w:p>
    <w:p>
      <w:pPr>
        <w:ind w:firstLine="640" w:firstLineChars="200"/>
        <w:jc w:val="both"/>
        <w:rPr>
          <w:rFonts w:hint="default" w:ascii="仿宋" w:hAnsi="仿宋" w:eastAsia="仿宋" w:cs="仿宋"/>
          <w:sz w:val="32"/>
          <w:szCs w:val="32"/>
        </w:rPr>
      </w:pPr>
      <w:r>
        <w:rPr>
          <w:rFonts w:ascii="仿宋" w:hAnsi="仿宋" w:eastAsia="仿宋" w:cs="仿宋"/>
          <w:sz w:val="32"/>
          <w:szCs w:val="32"/>
        </w:rPr>
        <w:t>全面贯彻党的二十大精神，落实二十届中央纪委二次全会部署，更加深刻领悟“两个确立”的决定性意义，增强“四个意识”、坚定“四个自信”、做到“两个维护”，坚决贯彻坚定不移全面从严治党战略部署，认真落实健全全面从严治党体系任务要求，高水平建设清廉昆明，深入开展党风廉政建设和反腐败斗争，深化“四个进一步探索”昆明实践，推进新时代新征程纪检监察工作高质量发展，为开创昆明社会主义现代化建设新局面提供坚强保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ind w:firstLine="640" w:firstLineChars="200"/>
        <w:jc w:val="both"/>
        <w:rPr>
          <w:rFonts w:hint="default" w:ascii="仿宋" w:hAnsi="仿宋" w:eastAsia="仿宋" w:cs="仿宋"/>
          <w:sz w:val="32"/>
          <w:szCs w:val="32"/>
        </w:rPr>
      </w:pPr>
      <w:r>
        <w:rPr>
          <w:rFonts w:ascii="仿宋" w:hAnsi="仿宋" w:eastAsia="仿宋" w:cs="仿宋"/>
          <w:sz w:val="32"/>
          <w:szCs w:val="32"/>
        </w:rPr>
        <w:t>产出目标：2022年项目运行严格从提升“清风春城”微公号品质、加强“清风春城”官方微博日常运行维护、做稳《昆明纪检监察》周刊质量三方面执行。全年完成微公号推送303期；通过增强动态图片、视频投入等，对原有版面进行了优化和美化；官方微博日常运行维护良好，发送267期，总数267条；完成《昆明纪检监察周刊》45期，共398篇稿件；央级、省级媒体采用100篇以上。</w:t>
      </w:r>
    </w:p>
    <w:p>
      <w:pPr>
        <w:ind w:firstLine="640" w:firstLineChars="200"/>
        <w:jc w:val="both"/>
        <w:rPr>
          <w:rFonts w:hint="default" w:ascii="仿宋" w:hAnsi="仿宋" w:eastAsia="仿宋" w:cs="仿宋"/>
          <w:sz w:val="32"/>
          <w:szCs w:val="32"/>
        </w:rPr>
      </w:pPr>
      <w:r>
        <w:rPr>
          <w:rFonts w:ascii="仿宋" w:hAnsi="仿宋" w:eastAsia="仿宋" w:cs="仿宋"/>
          <w:sz w:val="32"/>
          <w:szCs w:val="32"/>
        </w:rPr>
        <w:t>效果目标：利用《昆明日报》较强的文字采编能力，按照“1名专班记者+2名责编记者”工作模式进行日常运营，加大“清风春城”微公号的原创文稿采编力度，加大“清风春城”微公号辐射面、传播力和影响力，并通过官方微博的日常维护推送提高微博的传播指数和影响力，通过《昆明纪检监察》周刊的制作发布，不断提升“清风春城”的美誉度和清廉度，为春城营造风清气正的政治生态提供保证。</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二、绩效评价工作情况</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全面了解本项目管理过程是否规范、产出目标是否完成以及效果目标是否实现等方面的内容，总结经验，查找不足，为项目在以后年度的开展提供可行性参考建议。在此基础上，重点分析项目预算编制的合理性、成本支出的真实性和控制有效性，评价财政资金的使用效率和效果，为以后年度编制项目预算、选择项目实施主体等提供参考依据。</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1.前期调研</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廉洁文化产品制作和传播项目经费项目团队制定相关评价方案，按照方案进行资料收集与审核，进行现场和非现场评价以及综合评价，从完成期数、出稿类型、报道质量、传播效应等方面进行评价，最终完成报告撰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2.研究文件</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相继研究了人事管理制度、绩效考评制度以及资金管理制度，以及全市纪检监察工作的相关文件等。</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3.绩效评价指标体系及工作方案的设计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制定了选题策划制度、人员管理制度、绩效考评制度以及资金管理制度，绩效考评以版面出刊数量、微公号推送数量、微博更新数量、全市纪检监察工作报道与全市中心工作契合度以及社会影响力等为标准，资金主要用于采编、新媒体维护、印刷、硬件以及发行支出等；</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评价体系重点包括：报道内容是否围绕全市纪检监察重点工作；报道数量是否符合审定方案；新媒体产品制作及维护是否达到对方客户要求；稿件刊发形成的舆论影响及范围。</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公平与客观、公开与开放、反馈与修改、定期化与制度化、可靠性与准确性、可行性与适用性。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稿分评定法：依据报社统一评分制度对项目采编人员工作进行考评，判定项目完成质量。</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社会调查法：根据报道引起的社会效应、受众反应、与相关部门互动程度来判定项目是否达到预期效果。涉及调查问卷，让项目相关人员就问卷项目进行评价。</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（四）绩效评价实施过程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1.数据填报和采集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统计稿件评分、读者感受评价，按照既定制度进行指标评价。</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2.社会调查</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统计读者反馈、社会评价、相关部门互动情况，注重长期跟踪。</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3.数据分析和撰写报告</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将前期收集资料进行整理，按照相关指标进行评价总结，结合预期目标形成总结报告。</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（五）本次绩效评价的局限性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由于本项目为新批复项目，项目运行实践经验方面还有所欠缺，项目相关人员配备还显不足，相关制度建设还有待进一步完善与加强。</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三、评价结论和绩效分析</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2022年，廉洁文化产品制作和传播项目各项工作正常开展，整体质量达标，资金使用情况规范，社会反响良好。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ind w:firstLine="640" w:firstLineChars="200"/>
        <w:jc w:val="both"/>
        <w:rPr>
          <w:rFonts w:hint="default" w:ascii="仿宋" w:hAnsi="仿宋" w:eastAsia="仿宋" w:cs="仿宋"/>
          <w:sz w:val="32"/>
          <w:szCs w:val="32"/>
        </w:rPr>
      </w:pPr>
      <w:r>
        <w:rPr>
          <w:rFonts w:ascii="仿宋" w:hAnsi="仿宋" w:eastAsia="仿宋" w:cs="仿宋"/>
          <w:sz w:val="32"/>
          <w:szCs w:val="32"/>
        </w:rPr>
        <w:t>加大“清风春城”微公号的原创文稿采编力度，加大“清风春城”微公号辐射面、传播力和影响力，并通过官方微博的日常维护推送提高微博的传播指数和影响力，通过《昆明纪检监察》周刊的制作发布，不断提升“清风春城”的美誉度和清廉度，为春城营造风清气正的政治生态提供保证，为全市纪检监察工作提供了坚实宣传保证。</w:t>
      </w:r>
    </w:p>
    <w:p>
      <w:pPr>
        <w:ind w:firstLine="640" w:firstLineChars="200"/>
        <w:jc w:val="both"/>
        <w:rPr>
          <w:rFonts w:hint="default" w:ascii="仿宋" w:hAnsi="仿宋" w:eastAsia="仿宋" w:cs="仿宋"/>
          <w:sz w:val="32"/>
          <w:szCs w:val="32"/>
        </w:rPr>
      </w:pPr>
      <w:r>
        <w:rPr>
          <w:rFonts w:ascii="仿宋" w:hAnsi="仿宋" w:eastAsia="仿宋" w:cs="仿宋"/>
          <w:sz w:val="32"/>
          <w:szCs w:val="32"/>
        </w:rPr>
        <w:t>通过持续、无死角、全过程展示全市纪检监察工作成效，为深入推动正风反腐营造了良好的氛围。</w:t>
      </w:r>
    </w:p>
    <w:p>
      <w:pPr>
        <w:ind w:firstLine="640" w:firstLineChars="200"/>
        <w:jc w:val="both"/>
        <w:rPr>
          <w:rFonts w:hint="default" w:ascii="仿宋_GB2312" w:hAnsi="楷体" w:eastAsia="仿宋_GB2312" w:cs="仿宋_GB2312"/>
          <w:sz w:val="32"/>
          <w:szCs w:val="32"/>
        </w:rPr>
      </w:pPr>
      <w:r>
        <w:rPr>
          <w:rFonts w:ascii="楷体" w:hAnsi="楷体" w:eastAsia="楷体" w:cs="楷体"/>
          <w:sz w:val="32"/>
          <w:szCs w:val="32"/>
        </w:rPr>
        <w:t>（二）具体绩效分析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决策方面，项目与所属部门长期发展目标和工作性质相匹配，并在前期对项目可行性进行过调研，符合要求。项目绩效目标的制定紧扣杂志定位和操作实际，能完整反映项目预期产出和效果，绩效指标清晰、可衡量。自评分19.5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项目管理方面，预算编制围绕采编活动实际情况，在需要调整预算时严格按照相关规定执行，资金使用合理、规范、节约，资金拨付程序完整，没有出现截留、挤占或挪用项目资金的情况。自评分20分。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项目绩效方面，采编活动团队提前预热，刊发稿件，跟踪活动同步报道，圆满完成各项目标，社会效益和宣传效益达到预期目标。自评分59分。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项目总评分98.5分。</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四、成本效益分析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项目资金的财政拨款，主要用于“清风春城”微公号品质提升、“清风春城”官方微博日常运行维护及《昆明纪检监察》周刊采编、发行、印刷、发行等支出。</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所有资金实行专款专用，资金拨付严格审批程序，使用规范，会计核算结果真实、准确。项目单位建立健全项目实施预算方案、财务管理制度和会计核算制度，此次绩效评价过程中未发现有截留、挤占或挪用项目资金的情况。</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五、主要经验及做法、存在的问题和建议</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（一）主要经验及做法</w:t>
      </w:r>
    </w:p>
    <w:p>
      <w:pPr>
        <w:ind w:firstLine="640" w:firstLineChars="200"/>
        <w:jc w:val="both"/>
        <w:rPr>
          <w:rFonts w:hint="default" w:ascii="仿宋" w:hAnsi="仿宋" w:eastAsia="仿宋" w:cs="仿宋"/>
          <w:sz w:val="32"/>
          <w:szCs w:val="32"/>
        </w:rPr>
      </w:pPr>
      <w:r>
        <w:rPr>
          <w:rFonts w:ascii="仿宋" w:hAnsi="仿宋" w:eastAsia="仿宋" w:cs="仿宋"/>
          <w:sz w:val="32"/>
          <w:szCs w:val="32"/>
        </w:rPr>
        <w:t>1.党的二十大进一步加深了对“坚持以严的基调强化正风肃纪、坚决打赢反腐败斗争攻坚战持久战”的理解和把握，通过对全市纪检监察宣传工作项目的运作及执行，让我认识到反腐败是最彻底的自我革命，纪检监察队伍是推进党的自我革命的重要力量，作为党报党刊，必须以更加强烈的政治自觉和历史主动，深入学习贯彻习近平总书记关于党的自我革命的战略思想，胸怀大局、把握大势、着眼大事，与时俱进做好纪检监察宣传工作，为坚定不移推进党的自我革命和深化全面从严治党提供坚强保障。</w:t>
      </w:r>
    </w:p>
    <w:p>
      <w:pPr>
        <w:ind w:firstLine="640"/>
        <w:jc w:val="both"/>
        <w:rPr>
          <w:rFonts w:hint="default" w:ascii="仿宋" w:hAnsi="仿宋" w:eastAsia="仿宋" w:cs="仿宋"/>
          <w:sz w:val="32"/>
          <w:szCs w:val="32"/>
        </w:rPr>
      </w:pPr>
      <w:r>
        <w:rPr>
          <w:rFonts w:ascii="仿宋" w:hAnsi="仿宋" w:eastAsia="仿宋" w:cs="仿宋"/>
          <w:sz w:val="32"/>
          <w:szCs w:val="32"/>
        </w:rPr>
        <w:t>2.</w:t>
      </w:r>
      <w:r>
        <w:rPr>
          <w:rFonts w:ascii="仿宋" w:hAnsi="仿宋" w:eastAsia="仿宋" w:cs="仿宋"/>
        </w:rPr>
        <w:t xml:space="preserve"> </w:t>
      </w:r>
      <w:r>
        <w:rPr>
          <w:rFonts w:ascii="仿宋" w:hAnsi="仿宋" w:eastAsia="仿宋" w:cs="仿宋"/>
          <w:sz w:val="32"/>
          <w:szCs w:val="32"/>
        </w:rPr>
        <w:t>在推进自我革命中做正风肃纪反腐的“宣讲员”。中国特色社会主义进入新时代，必须把统一思想、凝聚力量作为宣传思想工作的中心环节，发挥政策解释、舆论导向、鞭挞腐恶、鼓舞人心的关键作用。</w:t>
      </w:r>
    </w:p>
    <w:p>
      <w:pPr>
        <w:ind w:firstLine="640"/>
        <w:jc w:val="both"/>
        <w:rPr>
          <w:rFonts w:hint="default" w:ascii="仿宋" w:hAnsi="仿宋" w:eastAsia="仿宋" w:cs="仿宋"/>
          <w:sz w:val="32"/>
          <w:szCs w:val="32"/>
        </w:rPr>
      </w:pPr>
      <w:r>
        <w:rPr>
          <w:rFonts w:ascii="仿宋" w:hAnsi="仿宋" w:eastAsia="仿宋" w:cs="仿宋"/>
          <w:sz w:val="32"/>
          <w:szCs w:val="32"/>
        </w:rPr>
        <w:t>3.</w:t>
      </w:r>
      <w:r>
        <w:rPr>
          <w:rFonts w:ascii="仿宋" w:hAnsi="仿宋" w:eastAsia="仿宋" w:cs="仿宋"/>
        </w:rPr>
        <w:t xml:space="preserve"> </w:t>
      </w:r>
      <w:r>
        <w:rPr>
          <w:rFonts w:ascii="仿宋" w:hAnsi="仿宋" w:eastAsia="仿宋" w:cs="仿宋"/>
          <w:sz w:val="32"/>
          <w:szCs w:val="32"/>
        </w:rPr>
        <w:t>在推进自我革命中做清正廉洁理念的“传播者”。一体推进不敢腐、不能腐、不想腐，“不想”是根本，要坚持把纪检监察宣传工作作为推进全面从严治党的基础性工作和党的思想政治建设重要内容，着力在宣传教育上多管齐下、打出组合拳。</w:t>
      </w:r>
    </w:p>
    <w:p>
      <w:pPr>
        <w:ind w:firstLine="640"/>
        <w:jc w:val="both"/>
        <w:rPr>
          <w:rFonts w:hint="default" w:ascii="仿宋" w:hAnsi="仿宋" w:eastAsia="仿宋" w:cs="仿宋"/>
          <w:sz w:val="32"/>
          <w:szCs w:val="32"/>
        </w:rPr>
      </w:pPr>
      <w:r>
        <w:rPr>
          <w:rFonts w:ascii="仿宋" w:hAnsi="仿宋" w:eastAsia="仿宋" w:cs="仿宋"/>
          <w:sz w:val="32"/>
          <w:szCs w:val="32"/>
        </w:rPr>
        <w:t>4.</w:t>
      </w:r>
      <w:r>
        <w:rPr>
          <w:rFonts w:ascii="仿宋" w:hAnsi="仿宋" w:eastAsia="仿宋" w:cs="仿宋"/>
        </w:rPr>
        <w:t xml:space="preserve"> </w:t>
      </w:r>
      <w:r>
        <w:rPr>
          <w:rFonts w:ascii="仿宋" w:hAnsi="仿宋" w:eastAsia="仿宋" w:cs="仿宋"/>
          <w:sz w:val="32"/>
          <w:szCs w:val="32"/>
        </w:rPr>
        <w:t>在推进自我革命中做忠诚干净担当的“守护人”。  宣传工作是党的一项极端重要的工作，作为全市纪检监察工作的宣传者，要坚持把政治建设摆在首位，带头加强思想淬炼、政治历练、实践锻炼和专业训练，从严从实抓好自身能力素质建设。</w:t>
      </w:r>
    </w:p>
    <w:p>
      <w:pPr>
        <w:ind w:firstLine="640"/>
        <w:jc w:val="both"/>
        <w:rPr>
          <w:rFonts w:hint="default" w:ascii="楷体" w:hAnsi="楷体" w:eastAsia="楷体" w:cs="楷体"/>
          <w:sz w:val="32"/>
          <w:szCs w:val="32"/>
        </w:rPr>
      </w:pPr>
      <w:r>
        <w:rPr>
          <w:rFonts w:ascii="楷体" w:hAnsi="楷体" w:eastAsia="楷体" w:cs="楷体"/>
          <w:sz w:val="32"/>
          <w:szCs w:val="32"/>
        </w:rPr>
        <w:t>（二）存在的问题</w:t>
      </w:r>
    </w:p>
    <w:p>
      <w:pPr>
        <w:ind w:firstLine="640"/>
        <w:jc w:val="both"/>
        <w:rPr>
          <w:rFonts w:hint="default" w:ascii="仿宋" w:hAnsi="仿宋" w:eastAsia="仿宋" w:cs="仿宋"/>
          <w:sz w:val="32"/>
          <w:szCs w:val="32"/>
        </w:rPr>
      </w:pPr>
      <w:r>
        <w:rPr>
          <w:rFonts w:ascii="仿宋" w:hAnsi="仿宋" w:eastAsia="仿宋" w:cs="仿宋"/>
          <w:sz w:val="32"/>
          <w:szCs w:val="32"/>
        </w:rPr>
        <w:t>纪检监察宣传工作是党的宣传工作的一个重要方面，全媒体时代纪检监察宣传工作面临着这样或者那样的挑战，综合下来，主要有以下几个问题：</w:t>
      </w:r>
    </w:p>
    <w:p>
      <w:pPr>
        <w:pStyle w:val="73"/>
        <w:ind w:firstLine="640"/>
        <w:jc w:val="both"/>
        <w:rPr>
          <w:rFonts w:ascii="仿宋" w:hAnsi="仿宋" w:eastAsia="仿宋" w:cs="仿宋"/>
          <w:sz w:val="32"/>
          <w:szCs w:val="32"/>
        </w:rPr>
      </w:pPr>
      <w:r>
        <w:rPr>
          <w:rFonts w:hint="eastAsia" w:ascii="仿宋" w:hAnsi="仿宋" w:eastAsia="仿宋" w:cs="仿宋"/>
          <w:sz w:val="32"/>
          <w:szCs w:val="32"/>
        </w:rPr>
        <w:t>1.思想认识方面有待进一步提高。</w:t>
      </w:r>
    </w:p>
    <w:p>
      <w:pPr>
        <w:pStyle w:val="73"/>
        <w:ind w:firstLine="640"/>
        <w:jc w:val="both"/>
        <w:rPr>
          <w:rFonts w:ascii="仿宋" w:hAnsi="仿宋" w:eastAsia="仿宋" w:cs="仿宋"/>
          <w:sz w:val="32"/>
          <w:szCs w:val="32"/>
        </w:rPr>
      </w:pPr>
      <w:r>
        <w:rPr>
          <w:rFonts w:hint="eastAsia" w:ascii="仿宋" w:hAnsi="仿宋" w:eastAsia="仿宋" w:cs="仿宋"/>
          <w:sz w:val="32"/>
          <w:szCs w:val="32"/>
        </w:rPr>
        <w:t>2.应用新媒体技术方面有待进一步创新。</w:t>
      </w:r>
    </w:p>
    <w:p>
      <w:pPr>
        <w:pStyle w:val="73"/>
        <w:ind w:firstLine="640"/>
        <w:jc w:val="both"/>
        <w:rPr>
          <w:rFonts w:ascii="仿宋" w:hAnsi="仿宋" w:eastAsia="仿宋" w:cs="仿宋"/>
          <w:sz w:val="32"/>
          <w:szCs w:val="32"/>
        </w:rPr>
      </w:pPr>
      <w:r>
        <w:rPr>
          <w:rFonts w:hint="eastAsia" w:ascii="仿宋" w:hAnsi="仿宋" w:eastAsia="仿宋" w:cs="仿宋"/>
          <w:sz w:val="32"/>
          <w:szCs w:val="32"/>
        </w:rPr>
        <w:t>3.宣传的窗口和平台和宣传手段有待进一步拓展。</w:t>
      </w:r>
    </w:p>
    <w:p>
      <w:pPr>
        <w:ind w:firstLine="640" w:firstLineChars="200"/>
        <w:jc w:val="both"/>
        <w:rPr>
          <w:rFonts w:hint="default" w:ascii="楷体" w:hAnsi="楷体" w:eastAsia="楷体" w:cs="楷体"/>
          <w:sz w:val="32"/>
          <w:szCs w:val="32"/>
        </w:rPr>
      </w:pPr>
      <w:r>
        <w:rPr>
          <w:rFonts w:ascii="楷体" w:hAnsi="楷体" w:eastAsia="楷体" w:cs="楷体"/>
          <w:sz w:val="32"/>
          <w:szCs w:val="32"/>
        </w:rPr>
        <w:t>（三）建议和改进措施</w:t>
      </w:r>
    </w:p>
    <w:p>
      <w:pPr>
        <w:ind w:firstLine="640" w:firstLineChars="200"/>
        <w:jc w:val="both"/>
        <w:rPr>
          <w:rFonts w:hint="default" w:ascii="仿宋" w:hAnsi="仿宋" w:eastAsia="仿宋" w:cs="仿宋"/>
          <w:sz w:val="32"/>
          <w:szCs w:val="32"/>
        </w:rPr>
      </w:pPr>
      <w:r>
        <w:rPr>
          <w:rFonts w:ascii="仿宋" w:hAnsi="仿宋" w:eastAsia="仿宋" w:cs="仿宋"/>
          <w:sz w:val="32"/>
          <w:szCs w:val="32"/>
        </w:rPr>
        <w:t>1.从内外、上下、左右三个维度实现联合。纪检监察宣传工作双重属性决定了必须坚持“广开门路搞宣传”。与主管部门形成内外联动，主动融入全市纪检监察大宣传格局，加强与全市各级纪检监察的沟通联系，建立健全重大主题宣传等工作协调协商机制，及时推介、通报纪检监察工作形势和重点任务，不断巩固拓展纪检监察宣传工作阵地。</w:t>
      </w:r>
    </w:p>
    <w:p>
      <w:pPr>
        <w:ind w:firstLine="640" w:firstLineChars="200"/>
        <w:jc w:val="both"/>
        <w:rPr>
          <w:rFonts w:hint="default" w:ascii="仿宋" w:hAnsi="仿宋" w:eastAsia="仿宋" w:cs="仿宋"/>
          <w:sz w:val="32"/>
          <w:szCs w:val="32"/>
        </w:rPr>
      </w:pPr>
      <w:r>
        <w:rPr>
          <w:rFonts w:ascii="仿宋" w:hAnsi="仿宋" w:eastAsia="仿宋" w:cs="仿宋"/>
          <w:sz w:val="32"/>
          <w:szCs w:val="32"/>
        </w:rPr>
        <w:t>2.</w:t>
      </w:r>
      <w:r>
        <w:rPr>
          <w:rFonts w:ascii="仿宋" w:hAnsi="仿宋" w:eastAsia="仿宋" w:cs="仿宋"/>
        </w:rPr>
        <w:t xml:space="preserve"> </w:t>
      </w:r>
      <w:r>
        <w:rPr>
          <w:rFonts w:ascii="仿宋" w:hAnsi="仿宋" w:eastAsia="仿宋" w:cs="仿宋"/>
          <w:sz w:val="32"/>
          <w:szCs w:val="32"/>
        </w:rPr>
        <w:t>从理论和实践、宣传和舆情、教育和文化三个方面把握内容结合。巩固和提升内容品质，丰富内容表达，注重理论与实践相结合，要把镜头、笔头对准基层，挖掘一线工作的特色亮点，总结提升实践经验，用以指导工作。要注重宣传方向与舆情导向相结合。舆情是工作效果的反映，网络上有什么样的舆情反映，宣传引导就朝哪个方向努力，让该说的说到位，实现宣传与舆情良性互动。</w:t>
      </w:r>
    </w:p>
    <w:p>
      <w:pPr>
        <w:ind w:firstLine="640" w:firstLineChars="200"/>
        <w:jc w:val="both"/>
        <w:rPr>
          <w:rFonts w:hint="default" w:ascii="仿宋" w:hAnsi="仿宋" w:eastAsia="仿宋" w:cs="仿宋"/>
          <w:sz w:val="32"/>
          <w:szCs w:val="32"/>
        </w:rPr>
      </w:pPr>
      <w:r>
        <w:rPr>
          <w:rFonts w:ascii="仿宋" w:hAnsi="仿宋" w:eastAsia="仿宋" w:cs="仿宋"/>
          <w:sz w:val="32"/>
          <w:szCs w:val="32"/>
        </w:rPr>
        <w:t>3.</w:t>
      </w:r>
      <w:r>
        <w:rPr>
          <w:rFonts w:ascii="仿宋" w:hAnsi="仿宋" w:eastAsia="仿宋" w:cs="仿宋"/>
        </w:rPr>
        <w:t xml:space="preserve"> </w:t>
      </w:r>
      <w:r>
        <w:rPr>
          <w:rFonts w:ascii="仿宋" w:hAnsi="仿宋" w:eastAsia="仿宋" w:cs="仿宋"/>
          <w:sz w:val="32"/>
          <w:szCs w:val="32"/>
        </w:rPr>
        <w:t>从理念、机制、技术三项创新引领媒体融合。形成立体多样、融合发展的现代传播体系是党中央作出的战略性部署，要顺应时代潮流，创新发展理念，在内容、渠道、平台、管理等方面深度融合且一体化发展，创新运用机制，借助媒体融合发展契机，打造反映收集社情民意的“晴雨表”，搭起联系和服务群众的“连心桥”，走好融媒体时代群众路线。</w:t>
      </w:r>
    </w:p>
    <w:p>
      <w:pPr>
        <w:jc w:val="both"/>
        <w:rPr>
          <w:rFonts w:hint="default" w:ascii="仿宋" w:hAnsi="仿宋" w:eastAsia="仿宋" w:cs="仿宋"/>
          <w:sz w:val="32"/>
          <w:szCs w:val="32"/>
        </w:rPr>
      </w:pPr>
      <w:r>
        <w:rPr>
          <w:rFonts w:ascii="仿宋" w:hAnsi="仿宋" w:eastAsia="仿宋" w:cs="仿宋"/>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hint="default" w:ascii="楷体_GB2312" w:eastAsia="楷体_GB2312" w:cs="楷体_GB2312"/>
          <w:sz w:val="32"/>
          <w:szCs w:val="32"/>
        </w:rPr>
        <w:t xml:space="preserve"> </w:t>
      </w:r>
    </w:p>
    <w:p>
      <w:pPr>
        <w:jc w:val="both"/>
        <w:rPr>
          <w:rFonts w:hint="default" w:ascii="楷体_GB2312" w:eastAsia="楷体_GB2312" w:cs="楷体_GB2312"/>
          <w:sz w:val="32"/>
          <w:szCs w:val="32"/>
        </w:rPr>
      </w:pPr>
      <w:r>
        <w:rPr>
          <w:rFonts w:cs="宋体"/>
          <w:sz w:val="32"/>
          <w:szCs w:val="32"/>
        </w:rPr>
        <w:t>项目十一：</w:t>
      </w:r>
    </w:p>
    <w:p>
      <w:pPr>
        <w:jc w:val="center"/>
        <w:rPr>
          <w:rFonts w:hint="default" w:ascii="方正小标宋简体" w:hAnsi="方正小标宋简体" w:cs="宋体"/>
          <w:sz w:val="44"/>
          <w:szCs w:val="44"/>
        </w:rPr>
      </w:pPr>
      <w:r>
        <w:rPr>
          <w:rFonts w:cs="宋体"/>
          <w:sz w:val="44"/>
          <w:szCs w:val="44"/>
        </w:rPr>
        <w:t>第十届书香昆明系列活动项目</w:t>
      </w:r>
    </w:p>
    <w:p>
      <w:pPr>
        <w:jc w:val="center"/>
        <w:rPr>
          <w:rFonts w:hint="default" w:ascii="方正小标宋简体" w:hAnsi="方正小标宋简体" w:eastAsia="方正小标宋简体" w:cs="方正小标宋简体"/>
          <w:sz w:val="44"/>
          <w:szCs w:val="44"/>
        </w:rPr>
      </w:pPr>
      <w:r>
        <w:rPr>
          <w:rFonts w:cs="宋体"/>
          <w:sz w:val="44"/>
          <w:szCs w:val="44"/>
        </w:rPr>
        <w:t>支出绩效自评报告</w:t>
      </w:r>
    </w:p>
    <w:p>
      <w:pPr>
        <w:topLinePunct/>
        <w:spacing w:line="440" w:lineRule="exact"/>
        <w:ind w:firstLine="600" w:firstLineChars="250"/>
        <w:jc w:val="both"/>
        <w:rPr>
          <w:rFonts w:hint="default" w:ascii="黑体" w:eastAsia="黑体" w:cs="黑体"/>
        </w:rPr>
      </w:pPr>
      <w:r>
        <w:rPr>
          <w:rFonts w:ascii="黑体" w:eastAsia="黑体" w:cs="黑体"/>
        </w:rPr>
        <w:t xml:space="preserve"> </w:t>
      </w:r>
    </w:p>
    <w:p>
      <w:pPr>
        <w:topLinePunct/>
        <w:spacing w:line="560" w:lineRule="exact"/>
        <w:ind w:firstLine="640" w:firstLineChars="200"/>
        <w:jc w:val="both"/>
        <w:rPr>
          <w:rFonts w:hint="default" w:ascii="黑体" w:eastAsia="黑体" w:cs="黑体"/>
          <w:sz w:val="32"/>
          <w:szCs w:val="32"/>
        </w:rPr>
      </w:pPr>
      <w:r>
        <w:rPr>
          <w:rFonts w:ascii="黑体" w:eastAsia="黑体" w:cs="黑体"/>
          <w:sz w:val="32"/>
          <w:szCs w:val="32"/>
        </w:rPr>
        <w:t>一、项目基本情况</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（一）项目概况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spacing w:line="4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为深入学习贯彻习近平总书记在中国文联第十一次全国代表大会、中国作协第十次全国代表大会上发表的重要讲话精神，贯彻落实省委宣传部工作要求，昆明市委市政府关于深入实施文化引领发展战略的安排部署，引导大众多读书、读好书，建设书香昆明，推动全民阅读，经研究决定举办第十届书香昆明系列活动。</w:t>
      </w:r>
    </w:p>
    <w:p>
      <w:pPr>
        <w:spacing w:line="4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以推动全民阅读、建设书香昆明为理念的书香昆明系列活动是云南省和昆明市的知名文化品牌活动，从2012年至今已举办十届，成为组织、服务、推广全民阅读的重要平台。在这十年中，我们因书相聚，因书相识，传递书香力量，打造书香昆明。经过书香昆明的持续推动，我们欣喜地看到，爱读书、读好书、善读书的昆明读者越来越多，昆明的阅读氛围越来越浓厚。</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于此背景，受昆明市委宣传部委托，昆明报业传媒集团（昆明日报社）于2022年3月启动第十届书香昆明系列活动的相关工作。</w:t>
      </w:r>
    </w:p>
    <w:p>
      <w:pPr>
        <w:spacing w:line="4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该活动申请昆明市文艺精品创作专项扶持资金26万元。</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第十届书香昆明系列活动由中共云南省委宣传部指导，中共昆明市委宣传部、昆明市文化和旅游局主办，昆明报业传媒集团</w:t>
      </w:r>
      <w:r>
        <w:rPr>
          <w:rFonts w:ascii="微软雅黑" w:hAnsi="微软雅黑" w:eastAsia="微软雅黑" w:cs="微软雅黑"/>
          <w:sz w:val="32"/>
          <w:szCs w:val="32"/>
        </w:rPr>
        <w:t>•</w:t>
      </w:r>
      <w:r>
        <w:rPr>
          <w:rFonts w:ascii="仿宋" w:hAnsi="仿宋" w:eastAsia="仿宋" w:cs="仿宋"/>
          <w:sz w:val="32"/>
          <w:szCs w:val="32"/>
        </w:rPr>
        <w:t>都市时报、昆明新华书店连锁有限公司承办。</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活动以“书香十年 阅见美好”为主题，包括阅读之声——春城好声音系列、阅读雅集——读书会系列、阅读青春——高校书香系列、阅读之光——好书与阅读空间评选系列、阅读盛宴——嘉年华系列五大板块百余项活动。</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与往届相比内容更丰富、更具创新、规模更大、辐射面更广、创意与体验感更强。系列活动于2022年3月18日启动，呈现出以下亮点：</w:t>
      </w:r>
    </w:p>
    <w:p>
      <w:pPr>
        <w:topLinePunct/>
        <w:spacing w:line="560" w:lineRule="exact"/>
        <w:ind w:left="638" w:leftChars="266"/>
        <w:jc w:val="both"/>
        <w:rPr>
          <w:rFonts w:hint="default" w:ascii="仿宋" w:hAnsi="仿宋" w:eastAsia="仿宋" w:cs="仿宋"/>
          <w:kern w:val="2"/>
          <w:sz w:val="32"/>
          <w:szCs w:val="32"/>
          <w:shd w:val="clear" w:color="auto" w:fill="FFFFFF"/>
        </w:rPr>
      </w:pPr>
      <w:r>
        <w:rPr>
          <w:rFonts w:ascii="仿宋" w:hAnsi="仿宋" w:eastAsia="仿宋" w:cs="仿宋"/>
          <w:sz w:val="32"/>
          <w:szCs w:val="32"/>
        </w:rPr>
        <w:t>一是内容更加丰富多元，推出五大板块百余项活动；</w:t>
      </w:r>
      <w:r>
        <w:rPr>
          <w:rFonts w:ascii="仿宋" w:hAnsi="仿宋" w:eastAsia="仿宋" w:cs="仿宋"/>
          <w:kern w:val="2"/>
          <w:sz w:val="32"/>
          <w:szCs w:val="32"/>
          <w:shd w:val="clear" w:color="auto" w:fill="FFFFFF"/>
        </w:rPr>
        <w:t>二是品牌内容有创新。最受关注的好书评选系列活动新增了经济好书评选及“书香十年经典好书”评选，四类51种获奖好书出炉，传递阅读之光，让更多的读者从好书中汲取精神力量;</w:t>
      </w:r>
    </w:p>
    <w:p>
      <w:pPr>
        <w:topLinePunct/>
        <w:spacing w:line="560" w:lineRule="exact"/>
        <w:ind w:firstLine="640" w:firstLineChars="200"/>
        <w:jc w:val="both"/>
        <w:rPr>
          <w:rFonts w:hint="default" w:ascii="仿宋" w:hAnsi="仿宋" w:eastAsia="仿宋" w:cs="仿宋"/>
          <w:kern w:val="2"/>
          <w:sz w:val="32"/>
          <w:szCs w:val="32"/>
          <w:shd w:val="clear" w:color="auto" w:fill="FFFFFF"/>
        </w:rPr>
      </w:pPr>
      <w:r>
        <w:rPr>
          <w:rFonts w:ascii="仿宋" w:hAnsi="仿宋" w:eastAsia="仿宋" w:cs="仿宋"/>
          <w:kern w:val="2"/>
          <w:sz w:val="32"/>
          <w:szCs w:val="32"/>
          <w:shd w:val="clear" w:color="auto" w:fill="FFFFFF"/>
        </w:rPr>
        <w:t>三是首次推出文创产品。首次推出的书香昆明系列文创产品包括好书盲袋、徽章、书签等6种类别，将阅读、文创、艺术、书香、花草香等完美融合；</w:t>
      </w:r>
    </w:p>
    <w:p>
      <w:pPr>
        <w:topLinePunct/>
        <w:spacing w:line="560" w:lineRule="exact"/>
        <w:ind w:firstLine="640" w:firstLineChars="200"/>
        <w:jc w:val="both"/>
        <w:rPr>
          <w:rFonts w:hint="default" w:ascii="仿宋" w:hAnsi="仿宋" w:eastAsia="仿宋" w:cs="仿宋"/>
          <w:kern w:val="2"/>
          <w:sz w:val="32"/>
          <w:szCs w:val="32"/>
          <w:shd w:val="clear" w:color="auto" w:fill="FFFFFF"/>
        </w:rPr>
      </w:pPr>
      <w:r>
        <w:rPr>
          <w:rFonts w:ascii="仿宋" w:hAnsi="仿宋" w:eastAsia="仿宋" w:cs="仿宋"/>
          <w:kern w:val="2"/>
          <w:sz w:val="32"/>
          <w:szCs w:val="32"/>
          <w:shd w:val="clear" w:color="auto" w:fill="FFFFFF"/>
        </w:rPr>
        <w:t>四是首次在线上推出“春城好声音”。春城好声音活动在历年活动评选出的云南好书中甄选10部经典作品片段，通过H5平台，以领读者加代言人的形式，吸引大众参与，在线上打造有春城名片意义的春城好声音专辑；</w:t>
      </w:r>
    </w:p>
    <w:p>
      <w:pPr>
        <w:topLinePunct/>
        <w:spacing w:line="560" w:lineRule="exact"/>
        <w:ind w:firstLine="640" w:firstLineChars="200"/>
        <w:jc w:val="both"/>
        <w:rPr>
          <w:rFonts w:hint="default" w:ascii="仿宋" w:hAnsi="仿宋" w:eastAsia="仿宋" w:cs="仿宋"/>
          <w:kern w:val="2"/>
          <w:sz w:val="32"/>
          <w:szCs w:val="32"/>
          <w:shd w:val="clear" w:color="auto" w:fill="FFFFFF"/>
        </w:rPr>
      </w:pPr>
      <w:r>
        <w:rPr>
          <w:rFonts w:ascii="仿宋" w:hAnsi="仿宋" w:eastAsia="仿宋" w:cs="仿宋"/>
          <w:kern w:val="2"/>
          <w:sz w:val="32"/>
          <w:szCs w:val="32"/>
          <w:shd w:val="clear" w:color="auto" w:fill="FFFFFF"/>
        </w:rPr>
        <w:t>五是评选阅读空间。首次推出的最美阅读空间系列评选活动串联起来昆明各地独具特色的阅读场所，照亮了城市的精神领地，吸引了昆明全市近120家阅读空间报名参加，评选出五类53个最美阅读空间。</w:t>
      </w:r>
    </w:p>
    <w:p>
      <w:pPr>
        <w:topLinePunct/>
        <w:spacing w:line="560" w:lineRule="exact"/>
        <w:ind w:firstLine="640" w:firstLineChars="200"/>
        <w:jc w:val="both"/>
        <w:rPr>
          <w:rFonts w:hint="default" w:ascii="仿宋" w:hAnsi="仿宋" w:eastAsia="仿宋" w:cs="仿宋"/>
          <w:kern w:val="2"/>
          <w:sz w:val="32"/>
          <w:szCs w:val="32"/>
          <w:shd w:val="clear" w:color="auto" w:fill="FFFFFF"/>
        </w:rPr>
      </w:pPr>
      <w:r>
        <w:rPr>
          <w:rFonts w:ascii="仿宋" w:hAnsi="仿宋" w:eastAsia="仿宋" w:cs="仿宋"/>
          <w:kern w:val="2"/>
          <w:sz w:val="32"/>
          <w:szCs w:val="32"/>
          <w:shd w:val="clear" w:color="auto" w:fill="FFFFFF"/>
        </w:rPr>
        <w:t>第十届书香昆明系列活动线上线下联动，走进企事业单位、高校、农村、书店、图书馆等地，持续推动“书香广进”，播撒阅读种子，让好书与阅读的影响力辐射到更广阔的领域。系列活动在昆明掀起了一股阅读热潮，据统计，第十届书香昆明系列活动目前已吸引了近百万嘉宾、读者、网友参与其中，收获众多好评。</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3.资金来源及使用情况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申请昆明市文艺精品创作专项扶持资金26万元。项目完成率100%，达到年度绩效目标。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包括项目组织情况、项目实施流程、资金拨付流程。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（1）项目组织情况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第十届书香昆明系列活动由中共云南省委宣传部指导，中共昆明市委宣传部、昆明市文化和旅游局主办，昆明报业传媒集团</w:t>
      </w:r>
      <w:r>
        <w:rPr>
          <w:rFonts w:ascii="微软雅黑" w:hAnsi="微软雅黑" w:eastAsia="微软雅黑" w:cs="微软雅黑"/>
          <w:sz w:val="32"/>
          <w:szCs w:val="32"/>
        </w:rPr>
        <w:t>•</w:t>
      </w:r>
      <w:r>
        <w:rPr>
          <w:rFonts w:ascii="仿宋" w:hAnsi="仿宋" w:eastAsia="仿宋" w:cs="仿宋"/>
          <w:sz w:val="32"/>
          <w:szCs w:val="32"/>
        </w:rPr>
        <w:t>都市时报、昆明新华书店连锁有限公司承办。</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（2）项目实施流程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第一阶段：活动筹备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撰写第十届书香昆明系列活动方案，确定活动视觉方案、文创产品设计方案，撰写各项活动视频文案，联系相关单位及嘉宾。</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第二阶段：活动推进</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正式启动第十届书香昆明系列活动，包括好书评选、阅读雅集、高校活动、阅读空间评选等。4月23日推出嘉年华，7月14日推出颁奖礼。</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第三阶段：结项验收</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评审系列活动各项获奖名单，推出颁奖礼，对系列活动进行全媒体矩阵报道。</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（3）资金拨付流程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项目经费26万元，经过2022年初预算、执行、跟踪及决算等流程，资金已全部拨付到位。截至2022年7月，全部资金已执行完毕，执行金额26万元，执行完成率100%。</w:t>
      </w:r>
    </w:p>
    <w:p>
      <w:pPr>
        <w:topLinePunct/>
        <w:spacing w:line="56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1.数量指标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（1）评选出“书香昆明”好书，指标值为4类51种；</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（2）评选出最美阅读空间，指标值为5类53个；</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（3）举办线上线下阅读活动，指标值为100余场；</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（4）推出春城好声音专辑，指标值为一个；</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（5）推出“书香昆明”文创产品，指标值为1套6种。</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2.质量指标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按照项目实施方案要求于2022年3月18日到7月14日第十届“书香昆明”全民阅读系列活动，包括五大板块百余项活动：阅读之光——好书与阅读空间评选系列、阅读之声——春城好声音系列、阅读雅集——读书会系列、阅读青春——高校书香系列、阅读盛宴——嘉年华系列。其中完成率指标值为100%，好评率指标值为98%。</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3.成本指标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成本指标中的项目预算控制数为26万。</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4.社会效益</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展现书香昆明系列活动的精彩十年，歌颂新时代新成就，更好地满足人民文化需求，推动全民阅读，铸就文化新辉煌。</w:t>
      </w:r>
    </w:p>
    <w:p>
      <w:pPr>
        <w:ind w:firstLine="640" w:firstLineChars="200"/>
        <w:jc w:val="both"/>
        <w:rPr>
          <w:rFonts w:hint="default" w:ascii="仿宋" w:hAnsi="仿宋" w:eastAsia="仿宋" w:cs="仿宋"/>
          <w:sz w:val="32"/>
          <w:szCs w:val="32"/>
        </w:rPr>
      </w:pPr>
      <w:r>
        <w:rPr>
          <w:rFonts w:ascii="仿宋" w:hAnsi="仿宋" w:eastAsia="仿宋" w:cs="仿宋"/>
          <w:sz w:val="32"/>
          <w:szCs w:val="32"/>
        </w:rPr>
        <w:t>5.可持续影响</w:t>
      </w:r>
    </w:p>
    <w:p>
      <w:pPr>
        <w:ind w:firstLine="640" w:firstLineChars="200"/>
        <w:jc w:val="both"/>
        <w:rPr>
          <w:rFonts w:hint="default" w:ascii="仿宋" w:hAnsi="仿宋" w:eastAsia="仿宋" w:cs="仿宋"/>
          <w:sz w:val="32"/>
          <w:szCs w:val="32"/>
        </w:rPr>
      </w:pPr>
      <w:r>
        <w:rPr>
          <w:rFonts w:ascii="仿宋" w:hAnsi="仿宋" w:eastAsia="仿宋" w:cs="仿宋"/>
          <w:sz w:val="32"/>
          <w:szCs w:val="32"/>
        </w:rPr>
        <w:t>“书香昆明”全民阅读系列活动已经连续举办十年，形成较好的正面影响力。入选云南省公共文化服务高质量发展典型案例。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6.服务对象满意度</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服务对象及大众满意度较高。</w:t>
      </w:r>
    </w:p>
    <w:p>
      <w:pPr>
        <w:topLinePunct/>
        <w:spacing w:line="560" w:lineRule="exact"/>
        <w:ind w:firstLine="800" w:firstLineChars="250"/>
        <w:jc w:val="both"/>
        <w:rPr>
          <w:rFonts w:hint="default" w:ascii="黑体" w:eastAsia="黑体" w:cs="黑体"/>
          <w:sz w:val="32"/>
          <w:szCs w:val="32"/>
        </w:rPr>
      </w:pPr>
      <w:r>
        <w:rPr>
          <w:rFonts w:ascii="黑体" w:eastAsia="黑体" w:cs="黑体"/>
          <w:sz w:val="32"/>
          <w:szCs w:val="32"/>
        </w:rPr>
        <w:t>二、绩效评价工作情况</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为强化预算绩效管理结果运用，增强支出责任，优化财政资源配置，提高财政资金使用效益，推进财政科学化精细化管理，根据市财政局绩效管理相关，进行绩效评价指标体系设计。</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1.绩效评价原则。包括科学规范、公开公正、绩效相关等原则。</w:t>
      </w:r>
    </w:p>
    <w:p>
      <w:pPr>
        <w:topLinePunct/>
        <w:spacing w:line="560" w:lineRule="exact"/>
        <w:ind w:firstLine="800" w:firstLineChars="250"/>
        <w:jc w:val="both"/>
        <w:rPr>
          <w:rFonts w:hint="default" w:ascii="仿宋" w:hAnsi="仿宋" w:eastAsia="仿宋" w:cs="仿宋"/>
          <w:sz w:val="32"/>
          <w:szCs w:val="32"/>
        </w:rPr>
      </w:pPr>
      <w:r>
        <w:rPr>
          <w:rFonts w:ascii="仿宋" w:hAnsi="仿宋" w:eastAsia="仿宋" w:cs="仿宋"/>
          <w:sz w:val="32"/>
          <w:szCs w:val="32"/>
        </w:rPr>
        <w:t>2.绩效评价方法。包括指标评价、数据采集和社会调查中所采用的方法。</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（一）绩效评价实施过程</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根据项目实际开展情况及第三方测评、验收情况，综合评价后得出最终结果。</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根据该项目的实施情况，结合目前各项数据积累，对项目进行分析，以形成最终报告。</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（二）本次绩效评价的局限性</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社会效益指标、可持续影响指标属于长期性指标，故无法对效果和成果做定量化的评价。</w:t>
      </w:r>
    </w:p>
    <w:p>
      <w:pPr>
        <w:topLinePunct/>
        <w:spacing w:line="560" w:lineRule="exact"/>
        <w:ind w:firstLine="640" w:firstLineChars="200"/>
        <w:jc w:val="both"/>
        <w:rPr>
          <w:rFonts w:hint="default" w:ascii="黑体" w:eastAsia="黑体" w:cs="黑体"/>
          <w:sz w:val="32"/>
          <w:szCs w:val="32"/>
        </w:rPr>
      </w:pPr>
      <w:r>
        <w:rPr>
          <w:rFonts w:ascii="黑体" w:eastAsia="黑体" w:cs="黑体"/>
          <w:sz w:val="32"/>
          <w:szCs w:val="32"/>
        </w:rPr>
        <w:t>三、评价结论和绩效分析</w:t>
      </w:r>
    </w:p>
    <w:p>
      <w:pPr>
        <w:topLinePunct/>
        <w:spacing w:line="56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topLinePunct/>
        <w:spacing w:line="560" w:lineRule="exac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绩效自评结果采取量化评分和定性评级相结合的形式，量化分值一般为百分制。可分为四个等级：优（得分≧90）；良（90﹥得分≧80）；中（80﹥得分≧60）；差（得分﹤60）。</w:t>
      </w:r>
    </w:p>
    <w:p>
      <w:pPr>
        <w:topLinePunct/>
        <w:spacing w:line="560" w:lineRule="exac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整体支出绩效自评结果：作为考核部门年度预算绩效管理工作开展情况的依据。</w:t>
      </w:r>
    </w:p>
    <w:p>
      <w:pPr>
        <w:topLinePunct/>
        <w:spacing w:line="560" w:lineRule="exac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项目支出绩效自评结果：绩效自评结果为“优”，在安排预算时应予以优先支持；绩效自评结果为“良”，在安排预算时可继续支持；绩效自评结果为“中”，部门应及时进行整改，并根据整改情况调整项目或扣减下一年度同类项目资金预算的10%；绩效自评结果为“差”，部门不仅要进行整改，同时暂停安排拨付资金或取消下一年度该项目资金预算，根据整改情况确定以后年度是否继续予以支持。</w:t>
      </w:r>
    </w:p>
    <w:p>
      <w:pPr>
        <w:topLinePunct/>
        <w:spacing w:line="560" w:lineRule="exac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2.主要绩效</w:t>
      </w:r>
    </w:p>
    <w:p>
      <w:pPr>
        <w:topLinePunct/>
        <w:spacing w:line="560" w:lineRule="exac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第十届书香昆明系列活动线上线下联动，走进企事业单位、高校、农村、书店、图书馆等地，持续推动“书香广进”，播撒阅读种子，让好书与阅读的影响力辐射到更广阔的领域。</w:t>
      </w:r>
    </w:p>
    <w:p>
      <w:pPr>
        <w:topLinePunct/>
        <w:spacing w:line="560" w:lineRule="exac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系列活动在昆明掀起了一股阅读热潮，据统计，第十届书香昆明系列活动目前已吸引了近百万嘉宾、读者、网友参与其中，收获众多好评。</w:t>
      </w:r>
    </w:p>
    <w:p>
      <w:pPr>
        <w:topLinePunct/>
        <w:spacing w:line="560" w:lineRule="exac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为了满足人民群众多样化、多层次、多方面的精神文化需求。我们更好地打造“书香昆明”系列活动，迎接宣传党的二十大，歌颂新时代新成就，更好地满足人民文化需求，更好地推动全民阅读，开拓文艺新境界，铸就文化新辉煌。</w:t>
      </w:r>
    </w:p>
    <w:p>
      <w:pPr>
        <w:topLinePunct/>
        <w:spacing w:line="560" w:lineRule="exact"/>
        <w:ind w:firstLine="640" w:firstLineChars="200"/>
        <w:jc w:val="both"/>
        <w:rPr>
          <w:rFonts w:hint="default" w:ascii="黑体" w:eastAsia="黑体" w:cs="黑体"/>
          <w:sz w:val="32"/>
          <w:szCs w:val="32"/>
        </w:rPr>
      </w:pPr>
      <w:r>
        <w:rPr>
          <w:rFonts w:ascii="黑体" w:eastAsia="黑体" w:cs="黑体"/>
          <w:sz w:val="32"/>
          <w:szCs w:val="32"/>
        </w:rPr>
        <w:t>四、成本效益分析</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对资金使用方向、资金收入和支出结构；项目和资金管理情况；资金的节约性、资金使用效果；变化趋势等进行分析评价。</w:t>
      </w:r>
    </w:p>
    <w:p>
      <w:pPr>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1.经济性分析：截至2022年12月，昆明市文艺精品创作专项扶持资金26万，项目完成比率100%，资金支付100%，完成年度绩效目标。</w:t>
      </w:r>
    </w:p>
    <w:p>
      <w:pPr>
        <w:autoSpaceDN w:val="0"/>
        <w:spacing w:line="560" w:lineRule="exact"/>
        <w:ind w:firstLine="640" w:firstLineChars="200"/>
        <w:jc w:val="both"/>
        <w:rPr>
          <w:rFonts w:hint="default" w:ascii="仿宋" w:hAnsi="仿宋" w:eastAsia="仿宋" w:cs="仿宋"/>
          <w:sz w:val="32"/>
          <w:szCs w:val="32"/>
          <w:shd w:val="clear" w:color="auto" w:fill="FFFFFF"/>
        </w:rPr>
      </w:pPr>
      <w:r>
        <w:rPr>
          <w:rFonts w:ascii="仿宋" w:hAnsi="仿宋" w:eastAsia="仿宋" w:cs="仿宋"/>
          <w:sz w:val="32"/>
          <w:szCs w:val="32"/>
        </w:rPr>
        <w:t>2.效益分析：坚持开展“书香昆明”系列活动，是昆明城市文化气质的彰显，也是这座城市市民阅读品位的体现。今后，我们将进一步增强在阅读中弘扬主流价值的信心与责任感，建立完善长效的运行、管理机制，聚焦树品牌、提品质、扩规模、搭平台，不断扩大活动的辐射面、影响力、知名度，让书香昆明系列活动成为知名文化IP，打造成展示全民阅读发展成果的载体，把品牌擦得越来越亮，为昆明建设区域性国际人文交流中心做出新的更大贡献。</w:t>
      </w:r>
    </w:p>
    <w:p>
      <w:pPr>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shd w:val="clear" w:color="auto" w:fill="FFFFFF"/>
        </w:rPr>
        <w:t>3.服务对象满意度：根据本项目的具体实施及执行情况，对服务对象进行走访调查，总体满意度98%以上。</w:t>
      </w:r>
    </w:p>
    <w:p>
      <w:pPr>
        <w:pStyle w:val="73"/>
        <w:topLinePunct/>
        <w:spacing w:line="560" w:lineRule="exact"/>
        <w:ind w:firstLine="640"/>
        <w:jc w:val="both"/>
        <w:rPr>
          <w:rFonts w:ascii="黑体" w:hAnsi="宋体" w:eastAsia="黑体" w:cs="黑体"/>
          <w:sz w:val="32"/>
          <w:szCs w:val="32"/>
        </w:rPr>
      </w:pPr>
      <w:r>
        <w:rPr>
          <w:rFonts w:hint="eastAsia" w:ascii="黑体" w:hAnsi="宋体" w:eastAsia="黑体" w:cs="黑体"/>
          <w:sz w:val="32"/>
          <w:szCs w:val="32"/>
        </w:rPr>
        <w:t>五、主要经验及做法、存在的问题和建议</w:t>
      </w:r>
    </w:p>
    <w:p>
      <w:pPr>
        <w:pStyle w:val="73"/>
        <w:topLinePunct/>
        <w:spacing w:line="560" w:lineRule="exact"/>
        <w:ind w:firstLine="640"/>
        <w:jc w:val="both"/>
        <w:rPr>
          <w:rFonts w:ascii="楷体" w:hAnsi="楷体" w:eastAsia="楷体" w:cs="楷体"/>
          <w:sz w:val="32"/>
          <w:szCs w:val="32"/>
        </w:rPr>
      </w:pPr>
      <w:r>
        <w:rPr>
          <w:rFonts w:hint="eastAsia" w:ascii="楷体" w:hAnsi="楷体" w:eastAsia="楷体" w:cs="楷体"/>
          <w:sz w:val="32"/>
          <w:szCs w:val="32"/>
        </w:rPr>
        <w:t>（一）主要经验及做法</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第十届书香昆明系列活动内容更丰富、规模更大、辐射面更广、创意与体验感更强。构建“预算绩效有评估、预算编制有目标、预算执行有监控、预算完成有评价、评价结果有反馈、反馈结果有应用”的“全过程”绩效管理。开展支出预算事前绩效评估，进行重点项目绩效目标跟踪监控和事后评价，才能有条不紊地围绕项目绩效管理推进各项工作开展。</w:t>
      </w:r>
    </w:p>
    <w:p>
      <w:pPr>
        <w:pStyle w:val="73"/>
        <w:topLinePunct/>
        <w:spacing w:line="560" w:lineRule="exact"/>
        <w:ind w:firstLine="640"/>
        <w:jc w:val="both"/>
        <w:rPr>
          <w:rFonts w:ascii="楷体" w:hAnsi="楷体" w:eastAsia="楷体" w:cs="楷体"/>
          <w:sz w:val="32"/>
          <w:szCs w:val="32"/>
        </w:rPr>
      </w:pPr>
      <w:r>
        <w:rPr>
          <w:rFonts w:hint="eastAsia" w:ascii="楷体" w:hAnsi="楷体" w:eastAsia="楷体" w:cs="楷体"/>
          <w:sz w:val="32"/>
          <w:szCs w:val="32"/>
        </w:rPr>
        <w:t>（二）存在的问题</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项目组成员对绩效评价认知不足，专业能力有待进一步加强。</w:t>
      </w:r>
    </w:p>
    <w:p>
      <w:pPr>
        <w:pStyle w:val="73"/>
        <w:topLinePunct/>
        <w:spacing w:line="560" w:lineRule="exact"/>
        <w:ind w:firstLine="640"/>
        <w:jc w:val="both"/>
        <w:rPr>
          <w:rFonts w:ascii="楷体" w:hAnsi="楷体" w:eastAsia="楷体" w:cs="楷体"/>
          <w:sz w:val="32"/>
          <w:szCs w:val="32"/>
        </w:rPr>
      </w:pPr>
      <w:r>
        <w:rPr>
          <w:rFonts w:hint="eastAsia" w:ascii="楷体" w:hAnsi="楷体" w:eastAsia="楷体" w:cs="楷体"/>
          <w:sz w:val="32"/>
          <w:szCs w:val="32"/>
        </w:rPr>
        <w:t>（三）建议和改进措施</w:t>
      </w:r>
    </w:p>
    <w:p>
      <w:pPr>
        <w:topLinePunct/>
        <w:spacing w:line="56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2023年，将按照财政预算安排编制项目支出绩效目标，科学有序地进行绩效测算，同时进一步加强项目管理，积极与市级相关部门对接，牢固树立绩效管理理念。继续完善“书香昆明”系列活动的各项项目，更进一步打造集组织、服务、推广全民阅读于一体的重要平台。</w:t>
      </w:r>
    </w:p>
    <w:p>
      <w:pPr>
        <w:pStyle w:val="8"/>
      </w:pPr>
      <w:r>
        <w:t xml:space="preserve"> </w:t>
      </w:r>
    </w:p>
    <w:p>
      <w:pPr>
        <w:jc w:val="both"/>
        <w:rPr>
          <w:rFonts w:hint="default" w:ascii="楷体_GB2312" w:eastAsia="楷体_GB2312" w:cs="楷体_GB2312"/>
          <w:sz w:val="32"/>
          <w:szCs w:val="32"/>
        </w:rPr>
      </w:pPr>
      <w:r>
        <w:rPr>
          <w:rFonts w:cs="宋体"/>
        </w:rPr>
        <w:t xml:space="preserve"> </w:t>
      </w:r>
      <w:r>
        <w:rPr>
          <w:rFonts w:hint="default" w:ascii="Times New Roman" w:hAnsi="Times New Roman"/>
          <w:kern w:val="2"/>
          <w:sz w:val="21"/>
          <w:szCs w:val="21"/>
        </w:rPr>
        <w:t xml:space="preserve"> </w:t>
      </w:r>
      <w:r>
        <w:rPr>
          <w:rFonts w:cs="宋体"/>
          <w:sz w:val="32"/>
          <w:szCs w:val="32"/>
        </w:rPr>
        <w:t>项目十二：</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互联网新闻宣传和政务服务项目</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支出绩效自评报告</w:t>
      </w:r>
    </w:p>
    <w:p>
      <w:pPr>
        <w:topLinePunct/>
        <w:spacing w:line="600" w:lineRule="exact"/>
        <w:ind w:firstLine="640" w:firstLineChars="200"/>
        <w:jc w:val="both"/>
        <w:rPr>
          <w:rFonts w:hint="default" w:ascii="黑体" w:hAnsi="Calibri" w:eastAsia="黑体" w:cs="黑体"/>
          <w:sz w:val="32"/>
          <w:szCs w:val="32"/>
        </w:rPr>
      </w:pPr>
      <w:r>
        <w:rPr>
          <w:rFonts w:ascii="黑体" w:hAnsi="Calibri" w:eastAsia="黑体" w:cs="黑体"/>
          <w:sz w:val="32"/>
          <w:szCs w:val="32"/>
        </w:rPr>
        <w:t xml:space="preserve"> </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一、项目基本情况</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（一）项目概况</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1.项目立项背景及目的</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2008年1月，市委九届四次全会报告提出“加快启动昆明信息港建设，确保一年开港投运。”昆明信息港以原市政府公众网、市委宣传部新昆明网和昆明日报社彩龙中国新闻网为基础，整合全市互联网资源，由云南电信昆明分公司投资建设。时年12月完成一期建设并开港运行。</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2010年12月，昆明市委办公厅、昆明市政府办公厅印发《关于加强和改进我市互联网信息管理工作的意见》（昆办发〔2010〕30号文件），要求巩固和完善互联网宣传和服务平台，做大做强我市互联网综合城市门户和政务服务门户。不断完善昆明信息港综合城市门户网，加大市级财政对昆明信息港的扶持力度，确保其网上新闻宣传、舆论引导、政务服务及其他公共公益性服务的工作经费。</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昆明市委办公厅、昆明市政府办公厅《昆明信息港“中国昆明”政务网运行管理制度（试行）》（昆办发〔2009〕6号文件）精神，昆明信息港由中共昆明市委、市政府主办。昆明日报社承办。昆明信息港管理委员会是网站的管理主体。在项目组织实施上，由管委会领导总负责，分管领导牵头的项目负责制。昆明信息港负责实施项目。</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2022年，昆港认真落实省、市、集团工作部署，突出做好习近平新时代中国特色社会主义思想网上宣传，紧紧围绕迎接、宣传、贯彻党的二十大这条主线，认真策划、落实各项报道任务，累计发稿18.15万篇（条）。</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3.资金来源及使用情况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项目资金来源为财政拨款，预算资金200万元于2022年4月份拨付到位，全部用于互联网新闻宣传和政务服务项目支出。</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600" w:lineRule="exact"/>
        <w:jc w:val="both"/>
        <w:rPr>
          <w:rFonts w:hint="default" w:ascii="仿宋" w:hAnsi="仿宋" w:eastAsia="仿宋" w:cs="仿宋"/>
          <w:sz w:val="32"/>
          <w:szCs w:val="32"/>
        </w:rPr>
      </w:pPr>
      <w:r>
        <w:rPr>
          <w:rFonts w:ascii="仿宋" w:hAnsi="仿宋" w:eastAsia="仿宋" w:cs="仿宋"/>
          <w:sz w:val="32"/>
          <w:szCs w:val="32"/>
        </w:rPr>
        <w:t xml:space="preserve">    2009年4月，昆明市委办公厅、昆明市政府办公厅印发《昆明信息港“中国昆明”政务网运行管理制度（试行）、限期规范部门子网站英文域名的通知、部门子网站英文域名管理制度（试行）等三个文件的通知》（昆办发〔2009〕6号文件），明确了中共昆明市委宣传部负责指导和监督昆明信息港管理委员会开展网站新闻宣传、把握正确舆论导向；昆明市人民政府信息产业办负责指导和协调昆明信息港管理委员会开展“中国昆明”政务网相关工作；昆明信息港管理委员会负责“中国昆明”政务网主网站的建设维护、运行管理及网站栏目策划、内容组织、信息采编、审核发布等工作，对各部门子网站的建设及应用情况进行协调和监督。</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2009年9月，昆明市委办公厅、昆明市政府办公厅转发《关于进一步完善和提升昆明信息港服务功能的实施方案的通知》（昆办通〔2009〕46号文件），提出昆明信息港要紧紧围绕市委、市政府中心工作，坚持团结稳定鼓劲、正面宣传为主，坚持“三贴近”，唱响主旋律，充分整合、挖掘、利用现有资源，继续创新和丰富网络传播方式，发挥网上宣传核心平台作用，不断提升网站的对外影响力和舆论引导水平。</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2022年，坚持以政治家办网办新媒体的理念统筹规划互联网新闻宣传和政务服务，制定、修订《昆明信息港网络视听节目生产发布管理规范》《昆明信息港代运维平台信息生产发布三审三校责任制度（试行）》《昆明信息港新闻信息生产发布三审三校责任制度（2022年7月修订 ）》等规章制度，项目管理体制机制进一步完善。</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1.总目标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坚持以习近平新时代中国特色社会主义思想为指引，全面学习、全面把握、全面落实党的二十大精神，贯彻落实习近平总书记关于宣传思想工作的重要思想，牢固树立“四个意识”，坚定“四个自信”，在省市宣传部、网信办的精心指导下，在昆明报业传媒集团的领导下，紧紧围绕习近平总书记对云南发展的重要指示精神，切实担负起“举旗帜、聚民心、育新人、兴文化、展形象”使命任务，坚持正面宣传为主，唱响主旋律，充分整合、挖掘利用新闻资源，不断创新和丰富网络传播方式，不断提升网站的对外影响力和舆论引导水平。</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全面贯彻落实全国、省、市宣传思想工作会议和网信工作会议精神，突出做好习近平新时代中国特色社会主义思想宣传，紧紧围绕迎接、宣传、贯彻党的二十大这条主线，聚焦民族团结进步示范区、生态文明排头兵建设、面向南亚东南亚辐射中心等中心工作，积极宣传各地各部门学习贯彻习近平总书记考察云南重要讲话精神的实践成效。充分展现云南各族人民牢记习近平总书记殷殷嘱托，自觉践行新发展理念，在新时代的新征程上交出绚丽的云岭答卷。</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（1）高举旗帜坚守阵地，唱响主旋律，突出做好习近平新时代中国特色社会主义思想宣传。全年累计发稿16000篇。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紧扣市委、市政府中心工作，充分发挥互联网传播优势，旗帜鲜明地唱响主旋律，围绕讲好昆明故事、传播春城声音、塑造城市形象，创新宣传方法手段、拓展宣传平台渠道、为昆明的改革发展稳定营造良好的网上舆论环境。全年发稿约64000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（3）充分利用英文、缅文多语种采编优势，不断创新外宣传播形式和手段，拓宽面向南亚东南亚国家网络传播渠道，为讲好中国故事、传播云南声音、塑造春城形象提供有力支撑。全年发稿1300篇。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（4）维护“中国昆明”政务网，发布党务政务信息。全年发稿约9000篇。</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（三）产出社会效益</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1.牢牢把握正确的政治方向和舆论导向，推动习近平新时代中国特色社会主义思想始终成为网络空间最强音。</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2.全方位、多角度、全平台做好昆滇学习贯彻习近平新时代中国特色社会主义思想取得的新进展、新成效，塑造昆明加快开放发展的崭新形象，着力营造建设区域性国际中心城市良好网络舆论环境。</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3.通过项目实施，服务市委市政府中心工作，保障新闻宣传的高质量供给，提高新闻舆论的传播力、引导力、影响力、公信力，增强人民群众的获得感和满意度。</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二、绩效评价工作情况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本次绩效评价，全面了解项目决策、过程、产出和效益等情况，评价财政资金使用绩效，找出存在的问题和原因，提出建设性意见建议，进一步规范资金分配和使用，并将绩效评价结果作为编报下年预算、改进加强管理、完善政策的重要依据，进一步提高资金使用效益。</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中华人民共和国预算法》《昆明市预算绩效管理暂行办法》（昆政办〔2013〕129号）《昆明市本级部门预算绩效自评管理暂行办法》等有关规定，结合部门职能职责，对照项目目标和实际完成情况，由单位分管领导牵头，各项目实施部门具体负责项目评价工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绩效评价围绕绩效目标的设定、资金投入和使用、为实现绩效目标制定的制度、采取的措施、绩效目标的实现程度及效果等方面内容开展自评。</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绩效评价根据设定的绩效目标，运用科学、合理的绩效评价指标、评价标准和评价方法，对财政支出的经济性、效率性和效益性进行客观、公正的评价。</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绩效指标遵循重要性、系统性、可比性等原则，在共性指标体系框架的基础上，结合项目预算批复的部门整体支出和项目支出绩效指标、部门职责以及项目特点，补充设计并确定个性指标。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采用成本效益分析法、因素分析法等方式，坚持简便有效的原则评价绩效目标实现程度。</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（四）绩效评价实施过程</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市财政局绩效评价工作的安排部署，启动年度评价工作，明确自评工作要求，分类制定自评项目共性指标及自评表，开展绩效自评工作，收集评价基础材料、选取评价指标、选用评价方法、综合分析评价，确定评价结果，结合季度项目跟踪，做好项目跟踪评价。</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（五）本次绩效评价的局限性</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本次项目评价由具体执行部门进行，依靠财政等有关部门和单位的指导，但新闻宣传服务类项目评价还存在一些难点，结合指标设置还有一定的局限性。</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三、评价结论和绩效分析</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topLinePunct/>
        <w:spacing w:line="600" w:lineRule="exact"/>
        <w:ind w:firstLine="640"/>
        <w:jc w:val="both"/>
        <w:rPr>
          <w:rFonts w:hint="default" w:ascii="仿宋" w:hAnsi="仿宋" w:eastAsia="仿宋" w:cs="仿宋"/>
          <w:sz w:val="32"/>
          <w:szCs w:val="32"/>
        </w:rPr>
      </w:pPr>
      <w:r>
        <w:rPr>
          <w:rFonts w:ascii="仿宋" w:hAnsi="仿宋" w:eastAsia="仿宋" w:cs="仿宋"/>
          <w:sz w:val="32"/>
          <w:szCs w:val="32"/>
        </w:rPr>
        <w:t>1.评价结果</w:t>
      </w:r>
    </w:p>
    <w:p>
      <w:pPr>
        <w:topLinePunct/>
        <w:spacing w:line="600" w:lineRule="exact"/>
        <w:ind w:firstLine="640"/>
        <w:jc w:val="both"/>
        <w:rPr>
          <w:rFonts w:hint="default" w:ascii="仿宋" w:hAnsi="仿宋" w:eastAsia="仿宋" w:cs="仿宋"/>
          <w:sz w:val="32"/>
          <w:szCs w:val="32"/>
        </w:rPr>
      </w:pPr>
      <w:r>
        <w:rPr>
          <w:rFonts w:ascii="仿宋" w:hAnsi="仿宋" w:eastAsia="仿宋" w:cs="仿宋"/>
          <w:sz w:val="32"/>
          <w:szCs w:val="32"/>
        </w:rPr>
        <w:t>项目实施情况较好，项目资金能及时到位，项目管理规范、项目社会效益良好，党委政府对项目实施的满意度较高，自评98.5分，评价等级为优。</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全媒体平台累计发布稿件181500余篇（组），其中城市门户发稿97000余篇，资讯频道发布民生资讯40500多篇，微信公众号、微博、抖音、头条等平台发稿44000余条。累计生产10万+作品448件，100万+作品65件，1000万+作品2件。</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（1）坚持正确政治方向和舆论导向，认真做好习近平新时代中国特色社会主义思想宣传。围绕习近平总书记重要活动、重要讲话、重大主题宣传等，发布指令稿件30000余篇（条），共制作《奋斗百年路 启航新征程》《习近平总书记“七一”重要讲话精神》等新闻专题46个，始终用习近平新时代中国特色社会主义思想引领网站首页、首屏和头条。</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 xml:space="preserve">（2）积极主动，浓墨重彩，做好重大主题宣传报道。开设“奋斗百年路 启航新征程——庆祝中国共产党建党百年”“深入学习贯彻十九届六中全会精神”“迎接COP15”等重点专题专栏，及时转载、集纳中央、省、市主流媒体权威报道。派记者采访省市系列发布会，并对相关稿件进行重点呈现。  </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围绕中心、服务大局，抓好省市重要主题宣传和舆论引导。紧扣“党史学习教育”“省市两会”“脱贫攻坚”“乡村振兴”“教育改革”“生态治理”等主题开展宣传报道，利用图文、图解、H5、海报新闻等形式全媒体呈现。开设专题专栏，全面宣传省、市“十三五”成就、“十四五”规划及“二〇三五远景目标纲要建议”。及时发布并深入解读云南省委省政府州市系列现场办公会精神，特别是昆明现场办公会精神。</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（4）努力提升国际传播能力，通过开展“海外看昆滇”活动、“在昆外国人看昆明”系列访谈、“外国人话云南”短视频征集大赛等线上线下相结合的形式，对外讲好中国故事，展示良好的昆滇形象。</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（二）具体绩效分析</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项目决策。与部门中长期规划相适应，立项依据充分、规范，绩效目标设定合理指标明确。自评19.5分。</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项目管理。预算编制合理，执行到位， 财务制度健全，监控有效，符合预算批复的用途，不存在截留、挤占、挪用、虚列支出等情况，项目实施管理制度有效。自评19分。</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产出。维护城市门户和综合新闻网，重点做好习近平新时代中国特色社会主义思想的宣传报道；对昆明市重要会议、活动、事件采访并全媒体报道；针对全市中心工作、重点项目、热点话题推出专题栏目。维护市人民政府“中国昆明”政务网政务信息公开。年度信息内容发布准确，技术安全保障有力。自评60分。</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总分98.5分。</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四、成本效益分析</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资金全部用于互联网新闻宣传和政务服务支出。当前，新闻舆论工作处在意识形态斗争最前沿。昆港互联网新闻宣传和政务服务项目，依托城市门户和综合新闻网、“昆明市人民政府”政务网以及各新媒体平台，平均每年编发稿件达18万多篇，牢牢守住了昆滇网上舆论重要阵地。各平台除发布国家、省、市宣传稿件外，还有大量原创、约稿等报道。面对如此庞大的稿量，项目工作任务开支经费明显过低。</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在资金使用效果方面，一是巩固和壮大了党的舆论阵地。项目实施，坚持马克思主义新闻观，坚持党性原则，坚持正确政治方向；坚持正面宣传为主，发挥主流网络媒体平台优势，正本溯源，激浊扬清。二是较好履行了地方网媒职责。围绕市委市府中心工作，聚焦围绕打赢三大攻坚战、区域性国际中心城市建设、滇池治理、生态文明建设、三大城市品牌等主题宣传。同时借力微信、微博、抖音等新媒体平台，宣传了昆滇形象，传播了昆滇声音。</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五、主要经验及做法、存在的问题和建议</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（一）主要经验及做法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财政部门监管有力，经费到位及时，在资金使用上严格按照规定执行，做到资金使用的安全规范，保证经费及时到位和合理使用。项目实施过程中，事前有设计规划、事中有监督检查、事后有跟踪问效。</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（二）存在的问题</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部分指标难以进行绩效评价，绩效指标设置还需完善，对支出绩效跟踪监管力度还需加强。</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（三）建议和改进措施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中共中央办公厅、国务院办公厅印发《关于加快推进媒体深度融合发展的意见》指出，要推动主力军全面挺进主战场，以互联网思维优化资源配置，把更多优质内容、先进技术、专业人才、项目资金向互联网主阵地汇集、向移动端倾斜，让分散在网下的力量尽快进军网上、深入网上，做大做强网络平台，占领新兴传播阵地。希望能在资金安排或政策支持上予以倾斜，不断巩固互联网意识形态阵地，壮大主流思想文化。</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2.进一步完善年初绩效指标设置，按照年初目标合理设置绩效指标，便于开展绩效跟踪与管理。</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spacing w:line="600" w:lineRule="exact"/>
        <w:ind w:firstLine="640" w:firstLineChars="200"/>
        <w:jc w:val="both"/>
        <w:rPr>
          <w:rFonts w:hint="default" w:ascii="仿宋_GB2312" w:eastAsia="仿宋_GB2312" w:cs="仿宋_GB2312"/>
          <w:sz w:val="32"/>
          <w:szCs w:val="32"/>
        </w:rPr>
      </w:pPr>
      <w:r>
        <w:rPr>
          <w:rFonts w:ascii="仿宋_GB2312" w:eastAsia="仿宋_GB2312" w:cs="仿宋_GB2312"/>
          <w:sz w:val="32"/>
          <w:szCs w:val="32"/>
        </w:rPr>
        <w:t xml:space="preserve"> </w:t>
      </w:r>
    </w:p>
    <w:p>
      <w:pPr>
        <w:jc w:val="both"/>
        <w:rPr>
          <w:rFonts w:ascii="楷体_GB2312" w:hAnsi="楷体_GB2312" w:cs="楷体_GB2312"/>
          <w:sz w:val="32"/>
          <w:szCs w:val="32"/>
        </w:rPr>
      </w:pPr>
      <w:r>
        <w:rPr>
          <w:rFonts w:ascii="楷体_GB2312" w:hAnsi="楷体_GB2312" w:cs="楷体_GB2312"/>
          <w:sz w:val="32"/>
          <w:szCs w:val="32"/>
        </w:rPr>
        <w:t xml:space="preserve"> </w:t>
      </w:r>
    </w:p>
    <w:p>
      <w:pPr>
        <w:jc w:val="both"/>
        <w:rPr>
          <w:rFonts w:ascii="楷体_GB2312" w:hAnsi="楷体_GB2312" w:cs="楷体_GB2312"/>
          <w:sz w:val="32"/>
          <w:szCs w:val="32"/>
        </w:rPr>
      </w:pPr>
      <w:r>
        <w:rPr>
          <w:rFonts w:ascii="楷体_GB2312" w:hAnsi="楷体_GB2312" w:cs="楷体_GB2312"/>
          <w:sz w:val="32"/>
          <w:szCs w:val="32"/>
        </w:rPr>
        <w:t xml:space="preserve"> </w:t>
      </w:r>
    </w:p>
    <w:p>
      <w:pPr>
        <w:jc w:val="both"/>
        <w:rPr>
          <w:rFonts w:hint="default" w:ascii="楷体_GB2312" w:eastAsia="楷体_GB2312" w:cs="楷体_GB2312"/>
          <w:sz w:val="32"/>
          <w:szCs w:val="32"/>
        </w:rPr>
      </w:pPr>
      <w:r>
        <w:rPr>
          <w:rFonts w:cs="宋体"/>
          <w:sz w:val="32"/>
          <w:szCs w:val="32"/>
        </w:rPr>
        <w:t>项目十三：</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省级人才发展专项资金</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支出绩效自评报告</w:t>
      </w:r>
    </w:p>
    <w:p>
      <w:pPr>
        <w:spacing w:line="600" w:lineRule="exact"/>
        <w:ind w:firstLine="480" w:firstLineChars="200"/>
        <w:jc w:val="both"/>
        <w:rPr>
          <w:rFonts w:hint="default" w:ascii="黑体" w:eastAsia="黑体" w:cs="黑体"/>
        </w:rPr>
      </w:pPr>
      <w:r>
        <w:rPr>
          <w:rFonts w:ascii="黑体" w:eastAsia="黑体" w:cs="黑体"/>
        </w:rPr>
        <w:t xml:space="preserve"> </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一、项目基本情况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（一）项目概况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按照省委相关文件规定，“兴滇英才支持计划”（原“万人计划”），给予项目经费支持。由各专项人员统筹安排，专款专用。</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理论评论智库平台建设项目（昆明报业传媒集团名编辑理论评论工作室），作为昆明市理论宣传阵地建设的重要项目和“部校共建”配套项目，主要开展人才培训、课题研究、新产品开发、专著出版。其成果转化主要转化在专著出版上，为本工作室和云南财经大学传媒学院大三及研究生评论课提供参考教材。</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工作室为员工搭建了业务学习培训、交流研讨的一个创新性平台。项目实施以来，出版或即将出版以下专著：《新闻“言”长线》（人民日报出版社），《言·论：一“记”之长》（云南人民出版社），《回响》（云南人民出版社）；创新性地推出昆报视评、真人AI主播（丹霞、春融）等评论新产品；每位学员提交一篇独立撰写的评论，编辑印刷出品作品集《以梦为马踏歌行》；完成昆明市宣传思想文化系统2022年度重点调研课题：“当好排头兵”大讨论大竞赛宣传策略构建及实践路径研究；参与云南财经大学的“部校共建”教学工作；等等。</w:t>
      </w:r>
    </w:p>
    <w:p>
      <w:pPr>
        <w:topLinePunct/>
        <w:spacing w:line="600" w:lineRule="exact"/>
        <w:ind w:firstLine="420"/>
        <w:jc w:val="both"/>
        <w:rPr>
          <w:rFonts w:hint="default" w:ascii="仿宋" w:hAnsi="仿宋" w:eastAsia="仿宋" w:cs="仿宋"/>
          <w:sz w:val="32"/>
          <w:szCs w:val="32"/>
        </w:rPr>
      </w:pPr>
      <w:r>
        <w:rPr>
          <w:rFonts w:ascii="仿宋" w:hAnsi="仿宋" w:eastAsia="仿宋" w:cs="仿宋"/>
          <w:sz w:val="32"/>
          <w:szCs w:val="32"/>
        </w:rPr>
        <w:t>3.资金来源及使用情况</w:t>
      </w:r>
    </w:p>
    <w:p>
      <w:pPr>
        <w:topLinePunct/>
        <w:spacing w:line="600" w:lineRule="exact"/>
        <w:ind w:firstLine="420"/>
        <w:jc w:val="both"/>
        <w:rPr>
          <w:rFonts w:hint="default" w:ascii="仿宋" w:hAnsi="仿宋" w:eastAsia="仿宋" w:cs="仿宋"/>
          <w:sz w:val="32"/>
          <w:szCs w:val="32"/>
        </w:rPr>
      </w:pPr>
      <w:r>
        <w:rPr>
          <w:rFonts w:ascii="仿宋" w:hAnsi="仿宋" w:eastAsia="仿宋" w:cs="仿宋"/>
          <w:sz w:val="32"/>
          <w:szCs w:val="32"/>
        </w:rPr>
        <w:t>按项目申报核定拨款数额为50万元，省财政连续5年，每年拨付10万元，其余资金由昆明日报社自筹解决。</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项目组织情况：专著出版按照国家相关规定流程进行。其他工作按照工作计划逐一完成。</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项目实施流程：书稿选题——书名策划——签订出版合同——报送书稿——书稿审核——编辑研讨——齐清定——专著设计——大样清样——出版印刷——发行</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人才培训、课题研究、新产品开发等工作按照工作计划继续开展。</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资金拨付流程：资金拨付严格按照财务资金使用规范和昆明日报社财务管理相关流程执行。</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1.总目标</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坚持以习近平新时代中国特色社会主义思想为指导，牢牢把握党的新闻舆论工作职责使命，健全完善新闻专业技术人员教育培训机制，不断增强新闻专业技术人员脚力、眼力、脑力、笔力，培养造就一支政治坚定、业务精湛、作风优良、党和人民放心的新闻舆论工作队伍，为推动新时代党的新闻舆论工作提供人才保证和智力支持。紧紧围绕党的新闻舆论工作职责使命，深入开展马克思主义新闻观教育，把政治能力建设贯穿继续教育全过程，引导新闻专业技术人员始终坚持正确政治方向、舆论导向、价值取向，增强“四个意识”、坚定“四个自信”、做到“两个维护”。通过创新方式方法，采用“请进来，走出去”等形式，不断提升新闻专业技术人员队伍素质，引导新闻专业技术人员尤其是青年编辑记者评论员运用所学知识指导实践、推动工作、生产精品。</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2.年度目标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产出目标：每年出版专著一部，每部30万字左右；学习培训10场次以上，共计30多个学时；完成宣传思想文化系统年度调研课题等等。</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效果目标：在学习培训中，通过业界和高校专家精心授课，推动评论作品水量质量明显提升；安排每位学员提交一篇独立撰写的评论，编辑印刷成评论作品集；主持人“一对一”服务策划选题，辅导多位学员撰写刊发评论，让大多数学员已完成中级职称评审的评论作品数量；指导论文写作、推荐论文发表，部分学员在省内外刊物上发表论文；工作室学员尝试出镜“昆报视评”，参与脚本撰写，全方位提升锻炼媒体融合本领；工作室主持人长期参与云南省正能量网络文化传播实训基地、国家数字素养实训基地的培训工作；参与省市多个课题项目评审以及决策咨询工作；完成“部校共建”教学任务。</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二、绩效评价工作情况</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全面了解本项目运作过程是否规范、产出目标是否完成以及效果目标是否实现等方面的内容，总结经验，查找不足，为项目在以后年度的开展提供可行性参考建议。在此基础上，重点分析项目预算编制的合理性、成本支出的真实性和控制有效性，评价财政资金的使用效率和效果，为以后年度编制项目预算、选择项目实施主体等提供参考依据。</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1.前期调研</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理论评论智库平台建设（名编辑理论评论工作室）制定相关培训方案、成果转化，即专著出版方案，按照方案进行资料收集与审核，进行现场和非现场评价以及综合评价，从推进情况、产品开发、专著质量、外部效应、访谈结果、考核情况等方面进行评价，最终完成报告撰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2.研究文件</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相继研究了人事管理制度、绩效考评制度以及资金管理制度，全省、全市重点中心工作的相关文件，以及“云南省高层次人才培养支持计划”（原“万人计划”）项目管理规定等。</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3.绩效评价指标体系及工作方案的设计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工作方案主要有制定培训框架、制作培训课件、完善培训制度、人员管理制度、考勤制度、绩效考评制度以及资金管理制度。财政下拨资金主要用于专著出版支出。</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评价体系重点包括：培训产生的效益、专著使用情况；新产品开发、人才培养是否达到预期目标。</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公平与客观、公开与开放、反馈与修改、定期化与制度化、可靠性与准确性、可行性与适用性。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稿件数量质量评定法：依据学员发表评论稿子、参加新产品开发、参与课题研究等情况进行考评，判定项目完成质量。</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深度访谈法：主要对培训效果进行访谈；根据使用参考教材产生的直接效果、工作室学员及大三学生、研究生的反馈，与外聘老师到工作室的讲授互动情况等来判定项目是否达到预期效果。涉及调查问卷，让项目相关人员就问卷项目进行评价。</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（四）绩效评价实施过程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1.数据填报和采集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统计学员评分、上课感受评价，按照既定制度进行指标评价。</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2.社会调查</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统计学员反馈、业界评价、高校互动情况等，注重长期跟踪。</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3.数据分析和撰写报告</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将前期收集资料进行整理，按照相关指标进行评价总结，结合预期目标形成总结报告。</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（五）本次绩效评价的局限性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由于本项目为新批复项目，项目运行实践经验方面还有所欠缺，项目相关人员配备还显不足，相关制度建设还有待进一步完善与加强。</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三、评价结论和绩效分析</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理论评论智库平台建设项目（昆明报业传媒集团名编辑理论评论工作室），各项工作正常开展，整体质量上乘，资金使用情况规范，业界反响良好。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出版或即将出版专著：《新闻“言”长线》《言·论：一“记”之长》《回响》（后期完善）；创新性地推出昆报视评、真人AI主播（丹霞、春融）等评论新产品；安排每位学员提交一篇独立撰写的评论，编辑印刷出品作品集《以梦为马踏歌行》；完成昆明市宣传思想文化系统2022年度重点调研课题：“当好排头兵”大讨论大竞赛宣传策略构建及实践路径研究；参与云南财经大学的“部校共建”教学工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在学习培训中，借用专著作为培训参考教材，从报纸版面、移动客户端、新媒体平台评论作品的明显增加；多位学员撰写刊发了多篇评论，一些同事已完成中级职称评审的评论作品数量；有多位学员在省内外刊物上发表论文；参与云南省正能量网络文化传播实训基地、国家数字素养实训基地的培训工作；参与省市多个课题项目评审以及决策咨询工作。</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（二）具体绩效分析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决策方面，项目与工作室长期发展目标和工作性质相匹配，并在前期对项目可行性进行过调研，符合要求。项目绩效目标的制定紧扣教育培训实际，能完整反映项目预期产出和效果，绩效指标清晰、可衡量。自评分19.5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项目管理方面，预算编制围绕培训实际情况，在需要调整预算时严格按照相关规定执行，资金使用合理、规范、节约，资金拨付程序完整，没有出现截留、挤占或挪用项目资金的情况。自评分20分。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项目绩效方面，项目提前做功课，面对各种困难，克服疫情干扰，圆满完成各项目标，社会效益和宣传效益达到预期目标。自评分59分。</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项目总评分98.5分。</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四、成本效益分析</w:t>
      </w:r>
    </w:p>
    <w:p>
      <w:pPr>
        <w:spacing w:line="600" w:lineRule="exact"/>
        <w:ind w:firstLine="600" w:firstLineChars="200"/>
        <w:jc w:val="both"/>
        <w:rPr>
          <w:rFonts w:hint="default" w:ascii="仿宋" w:hAnsi="仿宋" w:eastAsia="仿宋" w:cs="仿宋"/>
          <w:sz w:val="30"/>
          <w:szCs w:val="30"/>
        </w:rPr>
      </w:pPr>
      <w:r>
        <w:rPr>
          <w:rFonts w:ascii="仿宋" w:hAnsi="仿宋" w:eastAsia="仿宋" w:cs="仿宋"/>
          <w:sz w:val="30"/>
          <w:szCs w:val="30"/>
        </w:rPr>
        <w:t>项目资金的财政拨款，主要用于专著印刷、出版等支出。集团拨付资金主要用于工作室授课老师的课时费支出。所有项目经费实行专款专用，资金拨付严格审批程序，使用规范，会计核算结果真实、准确。项目所在单位建立健全项目实施预算方案、财务管理制度和会计核算制度，此次绩效评价过程中未发现有截留、挤占或挪用项目资金的情况。</w:t>
      </w:r>
    </w:p>
    <w:p>
      <w:pPr>
        <w:topLinePunct/>
        <w:spacing w:line="600" w:lineRule="exact"/>
        <w:ind w:firstLine="640" w:firstLineChars="200"/>
        <w:jc w:val="both"/>
        <w:rPr>
          <w:rFonts w:hint="default" w:ascii="黑体" w:hAnsi="Calibri" w:eastAsia="黑体" w:cs="黑体"/>
          <w:sz w:val="32"/>
          <w:szCs w:val="32"/>
        </w:rPr>
      </w:pPr>
      <w:r>
        <w:rPr>
          <w:rFonts w:ascii="黑体" w:eastAsia="黑体" w:cs="黑体"/>
          <w:sz w:val="32"/>
          <w:szCs w:val="32"/>
        </w:rPr>
        <w:t>五、主要经验及做法、存在的问题和建议</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（一）主要经验及做法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理论评论智库平台建设项目（昆明报业传媒集团名编辑理论评论工作室）是集团高瞻远瞩搭建的继续教育平台。因为，做好党的新闻舆论工作，关键在人才。媒体竞争，最终是人才竞争。新闻工作是需要出“产品”的工作，造就一支政治坚定、业务精湛、作风优良、党和人民放心的新闻舆论工作者，需要加大学习培训力度。</w:t>
      </w:r>
    </w:p>
    <w:p>
      <w:pPr>
        <w:spacing w:line="600" w:lineRule="exact"/>
        <w:ind w:firstLine="640" w:firstLineChars="200"/>
        <w:jc w:val="both"/>
        <w:rPr>
          <w:rFonts w:hint="default" w:ascii="仿宋_GB2312" w:hAnsi="楷体" w:eastAsia="仿宋_GB2312" w:cs="仿宋_GB2312"/>
          <w:sz w:val="32"/>
          <w:szCs w:val="32"/>
        </w:rPr>
      </w:pPr>
      <w:r>
        <w:rPr>
          <w:rFonts w:ascii="仿宋" w:hAnsi="仿宋" w:eastAsia="仿宋" w:cs="仿宋"/>
          <w:sz w:val="32"/>
          <w:szCs w:val="32"/>
        </w:rPr>
        <w:t>2.学习培训需要切合实际的教材，出版专著作为学员的参考用书，发挥直接的指导、借鉴、参考作用。</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（二）存在的问题</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1.由于近年省财政下达的人才培养专项资金到达报社较晚，加上资金使用审批需要报市级财政，手续繁杂，时间较长，影响合同的签订；如果签订合同后，资金不能及时到账，就要承担违约金的风险。</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由于培训讲座安排在周五下午（正常工作时间），培训学习与业务工作在时间上常常有冲突。培训时有的学员恰恰有重要采访，有的学员出差在外，有的学员正逢有项目要洽谈甚至签订协议……碰到这些情况，只能“择其重”而从之，请假放弃学习。</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由于疫情反反复复的影响，“请进来”培训在确保安全的前提下正常开展，但“走出去”与新闻界同行的交流未能经常开展。长期“蜷缩”在自己的小圈子里，不能多看多学，必然影响学习效果。没有“走出去”开眼界、长见识，就不可能与时俱进地用新闻理论更好指导新闻实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4.部校共建方面，新闻单位不能完全满足学生实习实践环节的需求；新闻学界与新闻业界合作交流、共促共建的力度有待加大，让新闻理论真正从新闻实践中来，让与时俱进的新闻理论更好指导新闻实践。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5.“报账”太麻烦。有同行感叹：“不是在报账就是在去报账的路上”“要搞项目先得学会做会计”“外出调研吃碗米线回来都要找几个领导签字才能报销”……严重影响工作热情和积极性。如何给活动组织者报账“松绑减负”，改变“人围着经费转”等怪现象，让他们从繁杂的事务性工作中解脱出来，一心一意搞专业，这是一个亟须拿出举措，着力解决的问题。（云南财政科研项目和经费管理改革20条措施提出，减轻科研人员事务性负担，包括实施科研人员减负行动、下放科研项目验收管理权限、优化科研仪器设备采购；加大科研人员激励力度，包括提高间接费用比例、发挥项目绩效激励作用、自主确定劳务费标准等）。</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（三）建议和改进措施</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1.组织一次外出学习培训，参访先进发达地区媒体融合发展情况。</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2.邀请张志安、王平等知名学者、媒体大咖来工作室作讲座。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3.在“大调研”背景下，完成昆明市宣传思想文化系统交办集团的年度调研重点课题，力争报送高质量的研究成果。</w:t>
      </w:r>
    </w:p>
    <w:p>
      <w:pPr>
        <w:pStyle w:val="8"/>
        <w:rPr>
          <w:rFonts w:ascii="仿宋" w:hAnsi="仿宋" w:eastAsia="仿宋" w:cs="仿宋"/>
        </w:rPr>
      </w:pPr>
      <w:r>
        <w:rPr>
          <w:rFonts w:hint="eastAsia" w:ascii="仿宋" w:hAnsi="仿宋" w:eastAsia="仿宋" w:cs="仿宋"/>
        </w:rPr>
        <w:t xml:space="preserve"> </w:t>
      </w:r>
    </w:p>
    <w:p>
      <w:pPr>
        <w:pStyle w:val="8"/>
        <w:rPr>
          <w:rFonts w:ascii="仿宋" w:hAnsi="仿宋" w:eastAsia="仿宋" w:cs="仿宋"/>
        </w:rPr>
      </w:pPr>
      <w:r>
        <w:rPr>
          <w:rFonts w:hint="eastAsia" w:ascii="仿宋" w:hAnsi="仿宋" w:eastAsia="仿宋" w:cs="仿宋"/>
        </w:rP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pPr>
      <w:r>
        <w:t xml:space="preserve"> </w:t>
      </w:r>
    </w:p>
    <w:p>
      <w:pPr>
        <w:pStyle w:val="8"/>
        <w:ind w:firstLine="0" w:firstLineChars="0"/>
        <w:rPr>
          <w:rFonts w:ascii="宋体" w:hAnsi="宋体" w:cs="宋体"/>
          <w:sz w:val="32"/>
          <w:szCs w:val="32"/>
        </w:rPr>
      </w:pPr>
    </w:p>
    <w:p>
      <w:pPr>
        <w:pStyle w:val="8"/>
        <w:ind w:firstLine="0" w:firstLineChars="0"/>
        <w:rPr>
          <w:rFonts w:ascii="宋体" w:hAnsi="宋体" w:cs="宋体"/>
          <w:sz w:val="32"/>
          <w:szCs w:val="32"/>
        </w:rPr>
      </w:pPr>
    </w:p>
    <w:p>
      <w:pPr>
        <w:pStyle w:val="8"/>
        <w:ind w:firstLine="0" w:firstLineChars="0"/>
        <w:rPr>
          <w:rFonts w:ascii="楷体_GB2312" w:hAnsi="宋体" w:eastAsia="楷体_GB2312" w:cs="楷体_GB2312"/>
          <w:sz w:val="32"/>
          <w:szCs w:val="32"/>
        </w:rPr>
      </w:pPr>
      <w:r>
        <w:rPr>
          <w:rFonts w:hint="eastAsia" w:ascii="宋体" w:hAnsi="宋体" w:cs="宋体"/>
          <w:sz w:val="32"/>
          <w:szCs w:val="32"/>
        </w:rPr>
        <w:t>项目十四：</w:t>
      </w:r>
    </w:p>
    <w:p>
      <w:pPr>
        <w:spacing w:line="600" w:lineRule="exact"/>
        <w:jc w:val="center"/>
        <w:rPr>
          <w:rFonts w:hint="default" w:ascii="方正小标宋简体" w:hAnsi="方正小标宋简体" w:cs="宋体"/>
          <w:sz w:val="44"/>
          <w:szCs w:val="44"/>
        </w:rPr>
      </w:pPr>
      <w:r>
        <w:rPr>
          <w:rFonts w:ascii="方正小标宋简体" w:hAnsi="方正小标宋简体" w:eastAsia="方正小标宋简体" w:cs="方正小标宋简体"/>
          <w:sz w:val="44"/>
          <w:szCs w:val="44"/>
        </w:rPr>
        <w:t>“</w:t>
      </w:r>
      <w:r>
        <w:rPr>
          <w:rFonts w:cs="宋体"/>
          <w:sz w:val="44"/>
          <w:szCs w:val="44"/>
        </w:rPr>
        <w:t>砥砺奋进新征程</w:t>
      </w:r>
      <w:r>
        <w:rPr>
          <w:rFonts w:ascii="方正小标宋简体" w:hAnsi="方正小标宋简体" w:eastAsia="方正小标宋简体" w:cs="方正小标宋简体"/>
          <w:sz w:val="44"/>
          <w:szCs w:val="44"/>
        </w:rPr>
        <w:t xml:space="preserve">  </w:t>
      </w:r>
      <w:r>
        <w:rPr>
          <w:rFonts w:cs="宋体"/>
          <w:sz w:val="44"/>
          <w:szCs w:val="44"/>
        </w:rPr>
        <w:t>喜迎党的二十大</w:t>
      </w:r>
      <w:r>
        <w:rPr>
          <w:rFonts w:ascii="方正小标宋简体" w:hAnsi="方正小标宋简体" w:eastAsia="方正小标宋简体" w:cs="方正小标宋简体"/>
          <w:sz w:val="44"/>
          <w:szCs w:val="44"/>
        </w:rPr>
        <w:t>——</w:t>
      </w:r>
      <w:r>
        <w:rPr>
          <w:rFonts w:cs="宋体"/>
          <w:sz w:val="44"/>
          <w:szCs w:val="44"/>
        </w:rPr>
        <w:t>党的创新理论我来讲</w:t>
      </w:r>
      <w:r>
        <w:rPr>
          <w:rFonts w:ascii="方正小标宋简体" w:hAnsi="方正小标宋简体" w:eastAsia="方正小标宋简体" w:cs="方正小标宋简体"/>
          <w:sz w:val="44"/>
          <w:szCs w:val="44"/>
        </w:rPr>
        <w:t>”</w:t>
      </w:r>
      <w:r>
        <w:rPr>
          <w:rFonts w:cs="宋体"/>
          <w:sz w:val="44"/>
          <w:szCs w:val="44"/>
        </w:rPr>
        <w:t>理论宣讲大赛初赛</w:t>
      </w:r>
    </w:p>
    <w:p>
      <w:pPr>
        <w:spacing w:line="600" w:lineRule="exact"/>
        <w:jc w:val="center"/>
        <w:rPr>
          <w:rFonts w:hint="default" w:ascii="方正小标宋简体" w:hAnsi="方正小标宋简体" w:eastAsia="方正小标宋简体" w:cs="方正小标宋简体"/>
          <w:sz w:val="44"/>
          <w:szCs w:val="44"/>
        </w:rPr>
      </w:pPr>
      <w:r>
        <w:rPr>
          <w:rFonts w:cs="宋体"/>
          <w:sz w:val="44"/>
          <w:szCs w:val="44"/>
        </w:rPr>
        <w:t>项目支出绩效自评报告</w:t>
      </w:r>
    </w:p>
    <w:p>
      <w:pPr>
        <w:topLinePunct/>
        <w:spacing w:line="600" w:lineRule="exact"/>
        <w:ind w:firstLine="800" w:firstLineChars="250"/>
        <w:jc w:val="both"/>
        <w:rPr>
          <w:rFonts w:hint="default" w:ascii="仿宋_GB2312" w:eastAsia="仿宋_GB2312" w:cs="仿宋_GB2312"/>
          <w:sz w:val="32"/>
          <w:szCs w:val="32"/>
        </w:rPr>
      </w:pPr>
      <w:r>
        <w:rPr>
          <w:rFonts w:ascii="仿宋_GB2312" w:eastAsia="仿宋_GB2312" w:cs="仿宋_GB2312"/>
          <w:sz w:val="32"/>
          <w:szCs w:val="32"/>
        </w:rPr>
        <w:t xml:space="preserve"> </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一、项目基本情况</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（一）项目立项背景及目的</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1.立项背景及目的</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根据省市宣传和社会事业工作委《关于举办“砥砺奋进新征程 喜迎党的二十大党的创新理论我来讲”理论宣讲大赛初赛的通知》，在宣传和社会事业工委所属党委（党组）范围举办“砥砺奋进新征程 喜迎党的二十大——党的创新理论我来讲”理论宣讲大赛初赛，选拔优秀队伍，参加市级比赛。</w:t>
      </w:r>
    </w:p>
    <w:p>
      <w:pPr>
        <w:kinsoku w:val="0"/>
        <w:overflowPunct w:val="0"/>
        <w:adjustRightInd w:val="0"/>
        <w:snapToGrid w:val="0"/>
        <w:spacing w:line="560" w:lineRule="exact"/>
        <w:ind w:firstLine="640" w:firstLineChars="200"/>
        <w:jc w:val="both"/>
        <w:textAlignment w:val="baseline"/>
        <w:rPr>
          <w:rFonts w:hint="default" w:ascii="仿宋" w:hAnsi="仿宋" w:eastAsia="仿宋" w:cs="仿宋"/>
          <w:sz w:val="32"/>
          <w:szCs w:val="32"/>
        </w:rPr>
      </w:pPr>
      <w:r>
        <w:rPr>
          <w:rFonts w:ascii="仿宋" w:hAnsi="仿宋" w:eastAsia="仿宋" w:cs="仿宋"/>
          <w:sz w:val="32"/>
          <w:szCs w:val="32"/>
        </w:rPr>
        <w:t>围绕“奋斗新时代、奋进新征程、担当新使命，沿着习近平总书记指引的方向奋勇前进，以优异成绩迎接党的二十大胜利召开。”的大赛主题，紧扣火热实践、先进典型、生动事例中反映出的对党的忠诚、对祖国的热爱、对人民的赤诚、对信仰的坚定的宣讲内容，通过组织比赛，不断推进马克思主义中国化时代化，生动阐释“中国共产党为什么能，中国特色社会主义为什么好，深刻阐释“马克思主义之所以行”的奥妙所在。宣讲全市广大干部群众牢固树立“今天再晚也是早、明天再早也是晚”的效率意识，以时不我待的紧迫感大抓发展，奋力谱写好中国梦的云南篇章的生动实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2.项目实施情况</w:t>
      </w:r>
    </w:p>
    <w:p>
      <w:pPr>
        <w:pStyle w:val="72"/>
        <w:ind w:firstLine="640" w:firstLineChars="200"/>
        <w:rPr>
          <w:rFonts w:ascii="仿宋" w:hAnsi="仿宋" w:eastAsia="仿宋" w:cs="仿宋"/>
          <w:sz w:val="32"/>
          <w:szCs w:val="32"/>
        </w:rPr>
      </w:pPr>
      <w:r>
        <w:rPr>
          <w:rFonts w:hint="eastAsia" w:ascii="仿宋" w:hAnsi="仿宋" w:eastAsia="仿宋" w:cs="仿宋"/>
          <w:sz w:val="32"/>
          <w:szCs w:val="32"/>
        </w:rPr>
        <w:t>比赛现场导演、主持人、评委、场务、计分员、音响控制、各参赛队员密切配合，顺利完成比赛，选拔出语言类一等奖作品1个，文艺类一等奖作品1个，得到了宣社工委的高度肯定，并全部向市委宣传部进行了推荐。通过此次比赛，昆明市理论宣讲水平得到进一步提升，理论宣讲的形式得到了丰富，从不同视角，运用多种形式，宣讲全市广大干部群众牢固树立“今天再晚也是早、明天再早也是晚”的效率意识，以时不我待的紧迫感大抓发展，奋力谱写好中国梦的云南篇章的生动实践。</w:t>
      </w:r>
    </w:p>
    <w:p>
      <w:pPr>
        <w:pStyle w:val="72"/>
        <w:ind w:firstLine="640" w:firstLineChars="200"/>
        <w:rPr>
          <w:rFonts w:ascii="仿宋" w:hAnsi="仿宋" w:eastAsia="仿宋" w:cs="仿宋"/>
          <w:sz w:val="32"/>
          <w:szCs w:val="32"/>
        </w:rPr>
      </w:pPr>
      <w:r>
        <w:rPr>
          <w:rFonts w:hint="eastAsia" w:ascii="仿宋" w:hAnsi="仿宋" w:eastAsia="仿宋" w:cs="仿宋"/>
          <w:sz w:val="32"/>
          <w:szCs w:val="32"/>
        </w:rPr>
        <w:t>3.资金来源及使用情况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该项目资金来源为市级财政。预算资金5万元，全部投入到活动举办的各项工作中。</w:t>
      </w:r>
    </w:p>
    <w:p>
      <w:pPr>
        <w:topLinePunct/>
        <w:spacing w:line="600" w:lineRule="exact"/>
        <w:ind w:left="480" w:leftChars="200" w:firstLine="320" w:firstLineChars="100"/>
        <w:jc w:val="both"/>
        <w:rPr>
          <w:rFonts w:hint="default" w:ascii="仿宋" w:hAnsi="仿宋" w:eastAsia="仿宋" w:cs="仿宋"/>
          <w:sz w:val="32"/>
          <w:szCs w:val="32"/>
        </w:rPr>
      </w:pPr>
      <w:r>
        <w:rPr>
          <w:rFonts w:ascii="仿宋" w:hAnsi="仿宋" w:eastAsia="仿宋" w:cs="仿宋"/>
          <w:sz w:val="32"/>
          <w:szCs w:val="32"/>
        </w:rPr>
        <w:t>4.组织及管理情况。</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组织情况：项目由市宣传和社会事业工委主办，昆明日报承办。市宣传和社会事业工委负责牵头做好初赛统筹协调工作。包括活动组织策划、评选表彰、宣传报道等工作。昆明日报负责做好初赛组织实施工作。制定初赛执行方案和统筹新闻报道、氛围营造等具体工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项目实施流程：2022年4月28、29日“砥砺奋进新征程 喜迎党的二十大——党的创新理论我来讲”理论宣讲大赛初赛正式启动，市宣传和社会事业工委下属12家党委（党组）推荐优秀作品19个，按类别参加党的创新理论我来讲大赛初赛。19个节目中，语言类节目12个，文艺类节目7个。</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比赛中，评委从宣讲主题、宣讲内容、语言表达、现场表现、着装仪表、宣讲效果等方面按照百分制现场打分。采取去掉一个最高分和一个最低分，取其余分数的平均分为选手最后得分，分数保留到小数点后两位。从高到低排出名次，确定获奖名单。最终，产生语言类一等奖1名、二等奖2名、三等奖3名；文艺类一等奖1名、二等奖2名、三等奖3名。文艺类奖作品《原创红色滇韵实验剧&lt;吴澄&gt;（片段）》语言类作品《借问瘟君欲何往，纸船明烛照天烧》《新时代呼唤留学青年新作为》等选送到市委宣传部，在市级理论宣讲大赛中均获得较好成绩。</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（二）绩效目标</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1.总目标</w:t>
      </w:r>
    </w:p>
    <w:p>
      <w:pPr>
        <w:kinsoku w:val="0"/>
        <w:overflowPunct w:val="0"/>
        <w:adjustRightInd w:val="0"/>
        <w:snapToGrid w:val="0"/>
        <w:spacing w:line="600" w:lineRule="exact"/>
        <w:ind w:firstLine="640" w:firstLineChars="200"/>
        <w:jc w:val="both"/>
        <w:textAlignment w:val="baseline"/>
        <w:rPr>
          <w:rFonts w:hint="default" w:ascii="仿宋" w:hAnsi="仿宋" w:eastAsia="仿宋" w:cs="仿宋"/>
          <w:sz w:val="32"/>
          <w:szCs w:val="32"/>
        </w:rPr>
      </w:pPr>
      <w:r>
        <w:rPr>
          <w:rFonts w:ascii="仿宋" w:hAnsi="仿宋" w:eastAsia="仿宋" w:cs="仿宋"/>
          <w:sz w:val="32"/>
          <w:szCs w:val="32"/>
        </w:rPr>
        <w:t xml:space="preserve">围绕“奋斗新时代、奋进新征程、担当新使命，沿着习近平总书记指引的方向奋勇前进，以优异成绩迎接党的二十大胜利召开。”的大赛主题，紧扣火热实践、先进典型、生动事例中反映出的对党的忠诚、对祖国的热爱、对人民的赤诚、对信仰的坚定的宣讲内容，通过组织比赛，不断推进马克思主义中国化时代化，生动阐释“中国共产党为什么能，中国特色社会主义为什么好”，深刻阐释“马克思主义之所以行”的奥妙所在。宣讲全市广大干部群众牢固树立“今天再晚也是早、明天再早也是晚”的效率意识，以时不我待的紧迫感大抓发展，奋力谱写好中国梦的云南篇章的生动实践    </w:t>
      </w:r>
    </w:p>
    <w:p>
      <w:pPr>
        <w:kinsoku w:val="0"/>
        <w:overflowPunct w:val="0"/>
        <w:adjustRightInd w:val="0"/>
        <w:snapToGrid w:val="0"/>
        <w:spacing w:line="600" w:lineRule="exact"/>
        <w:ind w:firstLine="640" w:firstLineChars="200"/>
        <w:jc w:val="both"/>
        <w:textAlignment w:val="baseline"/>
        <w:rPr>
          <w:rFonts w:hint="default" w:ascii="仿宋" w:hAnsi="仿宋" w:eastAsia="仿宋" w:cs="仿宋"/>
          <w:sz w:val="32"/>
          <w:szCs w:val="32"/>
        </w:rPr>
      </w:pPr>
      <w:r>
        <w:rPr>
          <w:rFonts w:ascii="仿宋" w:hAnsi="仿宋" w:eastAsia="仿宋" w:cs="仿宋"/>
          <w:sz w:val="32"/>
          <w:szCs w:val="32"/>
        </w:rPr>
        <w:t>2.年度目标</w:t>
      </w:r>
    </w:p>
    <w:p>
      <w:pPr>
        <w:topLinePunct/>
        <w:spacing w:line="600" w:lineRule="exact"/>
        <w:ind w:firstLine="640" w:firstLineChars="200"/>
        <w:jc w:val="both"/>
        <w:rPr>
          <w:rFonts w:hint="default" w:ascii="仿宋_GB2312" w:eastAsia="仿宋_GB2312" w:cs="仿宋_GB2312"/>
          <w:sz w:val="32"/>
          <w:szCs w:val="32"/>
        </w:rPr>
      </w:pPr>
      <w:r>
        <w:rPr>
          <w:rFonts w:ascii="仿宋" w:hAnsi="仿宋" w:eastAsia="仿宋" w:cs="仿宋"/>
          <w:sz w:val="32"/>
          <w:szCs w:val="32"/>
        </w:rPr>
        <w:t>通过理论宣讲大赛的形式，引导工委所属广大党员干部群众在理论宣讲的形式上不断创新，在演讲的基础上，大胆采用小品、情景剧、相声、快板、诗朗诵、音诗画等多种文艺表现形式开展理论宣讲，让党的创新理论飞入寻常百姓家，同时选拔优秀队伍参加市级比赛，力争获得好成绩。</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二、绩效评价工作情况</w:t>
      </w:r>
    </w:p>
    <w:p>
      <w:pPr>
        <w:snapToGrid w:val="0"/>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（一）绩效评价目的</w:t>
      </w:r>
    </w:p>
    <w:p>
      <w:pPr>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本次绩效评价，全面了解项目决策、过程、产出和效益等情况，评价财政资金使用绩效，找出存在的问题和原因，提出建设性意见建议，进一步规范资金分配和使用，并将绩效评价结果作为编报下年预算、改进加强管理、完善政策的重要依据，进一步提高资金使用效益。</w:t>
      </w:r>
    </w:p>
    <w:p>
      <w:pPr>
        <w:topLinePunct/>
        <w:spacing w:line="600" w:lineRule="exact"/>
        <w:ind w:firstLine="800" w:firstLineChars="250"/>
        <w:jc w:val="both"/>
        <w:rPr>
          <w:rFonts w:hint="default" w:ascii="楷体" w:hAnsi="楷体" w:eastAsia="楷体" w:cs="楷体"/>
          <w:sz w:val="32"/>
          <w:szCs w:val="32"/>
        </w:rPr>
      </w:pPr>
      <w:r>
        <w:rPr>
          <w:rFonts w:ascii="楷体" w:hAnsi="楷体" w:eastAsia="楷体" w:cs="楷体"/>
          <w:sz w:val="32"/>
          <w:szCs w:val="32"/>
        </w:rPr>
        <w:t>（二）绩效评价工作方案制定过程</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1.前期调研</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调研,对相关文件的解读，根据绩效评价的基本原理、原则和项目特点，结合绩效目标，由绩效评价小组按确定的评价指标体系、评分标准、评价方法和相关的工作程序和步骤，在规定的时间节点内开展绩效评价工作。</w:t>
      </w:r>
    </w:p>
    <w:p>
      <w:pPr>
        <w:topLinePunct/>
        <w:spacing w:line="600" w:lineRule="exact"/>
        <w:ind w:firstLine="800" w:firstLineChars="250"/>
        <w:jc w:val="both"/>
        <w:rPr>
          <w:rFonts w:hint="default" w:ascii="仿宋" w:hAnsi="仿宋" w:eastAsia="仿宋" w:cs="仿宋"/>
          <w:sz w:val="32"/>
          <w:szCs w:val="32"/>
        </w:rPr>
      </w:pPr>
      <w:r>
        <w:rPr>
          <w:rFonts w:ascii="仿宋" w:hAnsi="仿宋" w:eastAsia="仿宋" w:cs="仿宋"/>
          <w:sz w:val="32"/>
          <w:szCs w:val="32"/>
        </w:rPr>
        <w:t>2.绩效评价指标体系及工作方案的设计</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绩效评价证据收集方法包括了研究、分析项目预算部门提供的相关文件；整理、汇总项目预算单位提供的项目资料、工作总结和合同；根据预算部门提供的基础数据表逐项进行核实。根据上述方法，从项目的立项合理性，目标的明确性，预算的准确性和管理制度的合规性等方面，对评价对象进行绩效评价。</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（三）绩效评价原则、评价方法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1.绩效评价原则</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(1)科学规范。绩效评价注重财政支出的经济性、效率性和有效性，严格执行规定的程序，采用定量与定性分析相结合的方法。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(2)公正公开。绩效评价客观、公正，标准统一、资料可靠，依法公开。</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(3)绩效相关。绩效评价针对具体支出及其产出绩效进行评价,结果清晰反映支出和产出绩效之间的紧密对应关系。</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2.绩效评价方法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本次主要采用因素分析法，采取数据对比，同时辅以资料研究等方法。</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（四）绩效评价实施过程</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根据《中华人民共和国预算法》《昆明市预算绩效管理暂行办法》（昆政办〔2013〕129号）等有关规定，结合部门职能职责，对照项目目标和实际完成情况，由单位分管领导牵头，各项目实施部门具体负责项目评价工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绩效评价围绕绩效目标的设定、资金投入和使用、为实现绩效目标制定的制度、采取的措施、绩效目标的实现程度及效果等方面内容开展自评。</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（五）本次绩效评价的局限性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本次项目评价由具体执行部门进行，依靠财政等有关部门和单位的指导，评价专业性不够，具有一定的局限性。</w:t>
      </w:r>
    </w:p>
    <w:p>
      <w:pPr>
        <w:topLinePunct/>
        <w:spacing w:line="600" w:lineRule="exact"/>
        <w:ind w:firstLine="800" w:firstLineChars="250"/>
        <w:jc w:val="both"/>
        <w:rPr>
          <w:rFonts w:hint="default" w:ascii="黑体" w:eastAsia="黑体" w:cs="黑体"/>
          <w:sz w:val="32"/>
          <w:szCs w:val="32"/>
        </w:rPr>
      </w:pPr>
      <w:r>
        <w:rPr>
          <w:rFonts w:ascii="黑体" w:eastAsia="黑体" w:cs="黑体"/>
          <w:sz w:val="32"/>
          <w:szCs w:val="32"/>
        </w:rPr>
        <w:t>三、评价结论和绩效分析</w:t>
      </w:r>
    </w:p>
    <w:p>
      <w:pPr>
        <w:topLinePunct/>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（一）评价结论</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1.评价结果</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项目绩效目标根据部门绩效目标制定，真实有效地反映了部门的职能，并且绩效可考核。项目资金使用有效合理，有严格的财务及内控制度把关，没有超出预算范围使用的情况发生。项目绩效指标及时完成并且完成情况良好。</w:t>
      </w:r>
    </w:p>
    <w:p>
      <w:pPr>
        <w:topLinePunct/>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2.主要绩效</w:t>
      </w:r>
    </w:p>
    <w:p>
      <w:pPr>
        <w:snapToGrid w:val="0"/>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通过理论宣讲大赛的形式，引导全市广大党员干部群众在理论宣讲的形式上不断创新，在演讲的基础上，大胆采用小品、情景剧、花灯歌舞、相声、快板、诗朗诵、顺口溜、音诗画等多种文艺表现形式开展理论宣讲，让党的创新理论飞入寻常百姓家，同时选拔优秀队伍参加省级比赛，力争获得好成绩。</w:t>
      </w:r>
    </w:p>
    <w:p>
      <w:pPr>
        <w:snapToGrid w:val="0"/>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（二）具体绩效分析</w:t>
      </w:r>
    </w:p>
    <w:tbl>
      <w:tblPr>
        <w:tblStyle w:val="16"/>
        <w:tblW w:w="0" w:type="auto"/>
        <w:tblInd w:w="93" w:type="dxa"/>
        <w:tblLayout w:type="fixed"/>
        <w:tblCellMar>
          <w:top w:w="0" w:type="dxa"/>
          <w:left w:w="108" w:type="dxa"/>
          <w:bottom w:w="0" w:type="dxa"/>
          <w:right w:w="108" w:type="dxa"/>
        </w:tblCellMar>
      </w:tblPr>
      <w:tblGrid>
        <w:gridCol w:w="789"/>
        <w:gridCol w:w="1342"/>
        <w:gridCol w:w="1422"/>
        <w:gridCol w:w="3816"/>
        <w:gridCol w:w="948"/>
      </w:tblGrid>
      <w:tr>
        <w:tblPrEx>
          <w:tblCellMar>
            <w:top w:w="0" w:type="dxa"/>
            <w:left w:w="108" w:type="dxa"/>
            <w:bottom w:w="0" w:type="dxa"/>
            <w:right w:w="108" w:type="dxa"/>
          </w:tblCellMar>
        </w:tblPrEx>
        <w:trPr>
          <w:trHeight w:val="530" w:hRule="atLeast"/>
        </w:trPr>
        <w:tc>
          <w:tcPr>
            <w:tcW w:w="789" w:type="dxa"/>
            <w:vMerge w:val="restart"/>
            <w:tcBorders>
              <w:top w:val="single" w:color="000000" w:sz="4" w:space="0"/>
              <w:left w:val="single" w:color="000000" w:sz="4" w:space="0"/>
              <w:bottom w:val="nil"/>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绩</w:t>
            </w:r>
            <w:r>
              <w:rPr>
                <w:rFonts w:cs="宋体"/>
                <w:sz w:val="22"/>
                <w:szCs w:val="22"/>
              </w:rPr>
              <w:br w:type="textWrapping"/>
            </w:r>
            <w:r>
              <w:rPr>
                <w:rFonts w:cs="宋体"/>
                <w:sz w:val="22"/>
                <w:szCs w:val="22"/>
              </w:rPr>
              <w:t>效</w:t>
            </w:r>
            <w:r>
              <w:rPr>
                <w:rFonts w:cs="宋体"/>
                <w:sz w:val="22"/>
                <w:szCs w:val="22"/>
              </w:rPr>
              <w:br w:type="textWrapping"/>
            </w:r>
            <w:r>
              <w:rPr>
                <w:rFonts w:cs="宋体"/>
                <w:sz w:val="22"/>
                <w:szCs w:val="22"/>
              </w:rPr>
              <w:t>指</w:t>
            </w:r>
            <w:r>
              <w:rPr>
                <w:rFonts w:cs="宋体"/>
                <w:sz w:val="22"/>
                <w:szCs w:val="22"/>
              </w:rPr>
              <w:br w:type="textWrapping"/>
            </w:r>
            <w:r>
              <w:rPr>
                <w:rFonts w:cs="宋体"/>
                <w:sz w:val="22"/>
                <w:szCs w:val="22"/>
              </w:rPr>
              <w:t>标</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一级指标</w:t>
            </w:r>
          </w:p>
        </w:tc>
        <w:tc>
          <w:tcPr>
            <w:tcW w:w="14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二级指标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三级指标</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得分</w:t>
            </w:r>
          </w:p>
        </w:tc>
      </w:tr>
      <w:tr>
        <w:tblPrEx>
          <w:tblCellMar>
            <w:top w:w="0" w:type="dxa"/>
            <w:left w:w="108" w:type="dxa"/>
            <w:bottom w:w="0" w:type="dxa"/>
            <w:right w:w="108" w:type="dxa"/>
          </w:tblCellMar>
        </w:tblPrEx>
        <w:trPr>
          <w:trHeight w:val="428"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产出指标</w:t>
            </w:r>
          </w:p>
        </w:tc>
        <w:tc>
          <w:tcPr>
            <w:tcW w:w="1422"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数量指标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参赛队伍</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15</w:t>
            </w:r>
          </w:p>
        </w:tc>
      </w:tr>
      <w:tr>
        <w:tblPrEx>
          <w:tblCellMar>
            <w:top w:w="0" w:type="dxa"/>
            <w:left w:w="108" w:type="dxa"/>
            <w:bottom w:w="0" w:type="dxa"/>
            <w:right w:w="108" w:type="dxa"/>
          </w:tblCellMar>
        </w:tblPrEx>
        <w:trPr>
          <w:trHeight w:val="428"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参赛节目</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15</w:t>
            </w:r>
          </w:p>
        </w:tc>
      </w:tr>
      <w:tr>
        <w:tblPrEx>
          <w:tblCellMar>
            <w:top w:w="0" w:type="dxa"/>
            <w:left w:w="108" w:type="dxa"/>
            <w:bottom w:w="0" w:type="dxa"/>
            <w:right w:w="108" w:type="dxa"/>
          </w:tblCellMar>
        </w:tblPrEx>
        <w:trPr>
          <w:trHeight w:val="428"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比赛场次</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599"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tcBorders>
              <w:top w:val="single" w:color="000000" w:sz="4" w:space="0"/>
              <w:left w:val="nil"/>
              <w:bottom w:val="single" w:color="000000" w:sz="4" w:space="0"/>
              <w:right w:val="single" w:color="000000" w:sz="4" w:space="0"/>
            </w:tcBorders>
            <w:shd w:val="clear" w:color="auto" w:fill="auto"/>
            <w:vAlign w:val="center"/>
          </w:tcPr>
          <w:p>
            <w:pPr>
              <w:jc w:val="both"/>
              <w:rPr>
                <w:rFonts w:hint="default"/>
                <w:sz w:val="22"/>
                <w:szCs w:val="22"/>
              </w:rPr>
            </w:pPr>
            <w:r>
              <w:rPr>
                <w:rFonts w:cs="宋体"/>
                <w:sz w:val="22"/>
                <w:szCs w:val="22"/>
              </w:rPr>
              <w:t>质量指标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理论宣讲大赛在宣传和社会事业工委覆盖率</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14</w:t>
            </w:r>
          </w:p>
        </w:tc>
      </w:tr>
      <w:tr>
        <w:tblPrEx>
          <w:tblCellMar>
            <w:top w:w="0" w:type="dxa"/>
            <w:left w:w="108" w:type="dxa"/>
            <w:bottom w:w="0" w:type="dxa"/>
            <w:right w:w="108" w:type="dxa"/>
          </w:tblCellMar>
        </w:tblPrEx>
        <w:trPr>
          <w:trHeight w:val="1161"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效益指标</w:t>
            </w:r>
          </w:p>
        </w:tc>
        <w:tc>
          <w:tcPr>
            <w:tcW w:w="14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社会效益指标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活动广泛动员宣传和社会事业工委下属12家党委（党组）积极开展理论宣讲</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15</w:t>
            </w:r>
          </w:p>
        </w:tc>
      </w:tr>
      <w:tr>
        <w:tblPrEx>
          <w:tblCellMar>
            <w:top w:w="0" w:type="dxa"/>
            <w:left w:w="108" w:type="dxa"/>
            <w:bottom w:w="0" w:type="dxa"/>
            <w:right w:w="108" w:type="dxa"/>
          </w:tblCellMar>
        </w:tblPrEx>
        <w:trPr>
          <w:trHeight w:val="503"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restart"/>
            <w:tcBorders>
              <w:top w:val="nil"/>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可持续影响指标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项目宣讲活动可持续带动作用</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428"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1422" w:type="dxa"/>
            <w:vMerge w:val="continue"/>
            <w:tcBorders>
              <w:top w:val="nil"/>
              <w:left w:val="nil"/>
              <w:bottom w:val="single" w:color="000000" w:sz="4" w:space="0"/>
              <w:right w:val="single" w:color="000000" w:sz="4" w:space="0"/>
            </w:tcBorders>
            <w:shd w:val="clear" w:color="auto" w:fill="auto"/>
            <w:vAlign w:val="center"/>
          </w:tcPr>
          <w:p>
            <w:pPr>
              <w:rPr>
                <w:rFonts w:hint="default" w:ascii="Times New Roman" w:hAnsi="Times New Roman"/>
                <w:sz w:val="20"/>
                <w:szCs w:val="20"/>
              </w:rPr>
            </w:pP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项目新增理论宣讲人才</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780" w:hRule="atLeast"/>
        </w:trPr>
        <w:tc>
          <w:tcPr>
            <w:tcW w:w="789" w:type="dxa"/>
            <w:vMerge w:val="continue"/>
            <w:tcBorders>
              <w:top w:val="single" w:color="000000" w:sz="4" w:space="0"/>
              <w:left w:val="single" w:color="000000" w:sz="4" w:space="0"/>
              <w:bottom w:val="nil"/>
              <w:right w:val="single" w:color="000000" w:sz="4" w:space="0"/>
            </w:tcBorders>
            <w:shd w:val="clear" w:color="auto" w:fill="auto"/>
            <w:vAlign w:val="center"/>
          </w:tcPr>
          <w:p>
            <w:pPr>
              <w:rPr>
                <w:rFonts w:hint="default" w:ascii="Times New Roman" w:hAnsi="Times New Roman"/>
                <w:sz w:val="20"/>
                <w:szCs w:val="20"/>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满意度</w:t>
            </w:r>
            <w:r>
              <w:rPr>
                <w:rFonts w:cs="宋体"/>
                <w:sz w:val="22"/>
                <w:szCs w:val="22"/>
              </w:rPr>
              <w:br w:type="textWrapping"/>
            </w:r>
            <w:r>
              <w:rPr>
                <w:rFonts w:cs="宋体"/>
                <w:sz w:val="22"/>
                <w:szCs w:val="22"/>
              </w:rPr>
              <w:t>指标</w:t>
            </w:r>
          </w:p>
        </w:tc>
        <w:tc>
          <w:tcPr>
            <w:tcW w:w="1422"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服务对象满意度指标</w:t>
            </w:r>
          </w:p>
        </w:tc>
        <w:tc>
          <w:tcPr>
            <w:tcW w:w="3816"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参赛单位、公众满意度</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r>
              <w:rPr>
                <w:rFonts w:cs="宋体"/>
                <w:sz w:val="22"/>
                <w:szCs w:val="22"/>
              </w:rPr>
              <w:t>10</w:t>
            </w:r>
          </w:p>
        </w:tc>
      </w:tr>
      <w:tr>
        <w:tblPrEx>
          <w:tblCellMar>
            <w:top w:w="0" w:type="dxa"/>
            <w:left w:w="108" w:type="dxa"/>
            <w:bottom w:w="0" w:type="dxa"/>
            <w:right w:w="108" w:type="dxa"/>
          </w:tblCellMar>
        </w:tblPrEx>
        <w:trPr>
          <w:trHeight w:val="780" w:hRule="atLeast"/>
        </w:trPr>
        <w:tc>
          <w:tcPr>
            <w:tcW w:w="7369" w:type="dxa"/>
            <w:gridSpan w:val="4"/>
            <w:tcBorders>
              <w:top w:val="nil"/>
              <w:left w:val="single" w:color="000000" w:sz="4" w:space="0"/>
              <w:bottom w:val="single" w:color="000000" w:sz="4" w:space="0"/>
              <w:right w:val="single" w:color="000000" w:sz="4" w:space="0"/>
            </w:tcBorders>
            <w:shd w:val="clear" w:color="auto" w:fill="auto"/>
            <w:vAlign w:val="center"/>
          </w:tcPr>
          <w:p>
            <w:pPr>
              <w:jc w:val="both"/>
              <w:textAlignment w:val="center"/>
              <w:rPr>
                <w:rFonts w:hint="default"/>
                <w:sz w:val="22"/>
                <w:szCs w:val="22"/>
              </w:rPr>
            </w:pPr>
          </w:p>
        </w:tc>
        <w:tc>
          <w:tcPr>
            <w:tcW w:w="948" w:type="dxa"/>
            <w:tcBorders>
              <w:top w:val="single" w:color="000000" w:sz="4" w:space="0"/>
              <w:left w:val="nil"/>
              <w:bottom w:val="single" w:color="000000" w:sz="4" w:space="0"/>
              <w:right w:val="single" w:color="000000" w:sz="4" w:space="0"/>
            </w:tcBorders>
            <w:shd w:val="clear" w:color="auto" w:fill="auto"/>
            <w:vAlign w:val="center"/>
          </w:tcPr>
          <w:p>
            <w:pPr>
              <w:jc w:val="both"/>
              <w:textAlignment w:val="center"/>
              <w:rPr>
                <w:rFonts w:hint="default"/>
                <w:sz w:val="22"/>
                <w:szCs w:val="22"/>
              </w:rPr>
            </w:pPr>
          </w:p>
        </w:tc>
      </w:tr>
    </w:tbl>
    <w:p>
      <w:pPr>
        <w:pStyle w:val="72"/>
      </w:pPr>
      <w:r>
        <w:t xml:space="preserve"> </w:t>
      </w:r>
    </w:p>
    <w:p>
      <w:pPr>
        <w:spacing w:line="600" w:lineRule="exact"/>
        <w:ind w:firstLine="640" w:firstLineChars="200"/>
        <w:jc w:val="both"/>
        <w:rPr>
          <w:rFonts w:hint="default" w:ascii="黑体" w:eastAsia="黑体" w:cs="黑体"/>
          <w:sz w:val="32"/>
          <w:szCs w:val="32"/>
        </w:rPr>
      </w:pPr>
      <w:r>
        <w:rPr>
          <w:rFonts w:ascii="黑体" w:eastAsia="黑体" w:cs="黑体"/>
          <w:sz w:val="32"/>
          <w:szCs w:val="32"/>
        </w:rPr>
        <w:t>四、成本效益分析</w:t>
      </w:r>
    </w:p>
    <w:p>
      <w:pPr>
        <w:spacing w:line="600" w:lineRule="exact"/>
        <w:ind w:left="480" w:leftChars="200"/>
        <w:jc w:val="both"/>
        <w:rPr>
          <w:rFonts w:hint="default" w:ascii="仿宋" w:hAnsi="仿宋" w:eastAsia="仿宋" w:cs="仿宋"/>
          <w:sz w:val="32"/>
          <w:szCs w:val="32"/>
        </w:rPr>
      </w:pPr>
      <w:r>
        <w:rPr>
          <w:rFonts w:ascii="仿宋" w:hAnsi="仿宋" w:eastAsia="仿宋" w:cs="仿宋"/>
          <w:sz w:val="32"/>
          <w:szCs w:val="32"/>
        </w:rPr>
        <w:t xml:space="preserve"> 1.项目的经济性分析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在项目成本（预算）控制方面，主要从技术开发、活动宣传推广、活动场地租赁、场地布置、专家评审劳务费等方面来控制，对项目相关的费用逐一列项，严格审查，在保证项目正常实施的情况下，节约各项开支。</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2.项目支出结构</w:t>
      </w:r>
    </w:p>
    <w:p>
      <w:pPr>
        <w:spacing w:line="600" w:lineRule="exact"/>
        <w:ind w:firstLine="640" w:firstLineChars="200"/>
        <w:jc w:val="both"/>
        <w:rPr>
          <w:rFonts w:hint="default" w:ascii="仿宋" w:hAnsi="仿宋" w:eastAsia="仿宋" w:cs="仿宋"/>
        </w:rPr>
      </w:pPr>
      <w:r>
        <w:rPr>
          <w:rFonts w:ascii="仿宋" w:hAnsi="仿宋" w:eastAsia="仿宋" w:cs="仿宋"/>
          <w:sz w:val="32"/>
          <w:szCs w:val="32"/>
        </w:rPr>
        <w:t>97%费用活动场地租赁、场地布置、专家评审劳务费，取得了较好、较热的传播效果。</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3%的费用用于奖状发放，有效拉动活动参与互动积极性。</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3.项目有效性分析</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理论宣讲大赛初赛于2022年4月28、29日正式启动，市宣社工委所属12家党委（党组）推荐，语言类节目12个，文艺类节目7个参加比赛。最终，产生语言类一等奖1名、二等奖2名、三等奖3名；文艺类一等奖1名、二等奖2名、三等奖3名。文艺类奖作品《原创红色滇韵实验剧&lt;吴澄&gt;（片段）》语言类作品《借问瘟君欲何往，纸船明烛照天烧》《新时代呼唤留学青年新作为》等选送到市委宣传部，在市级理论宣讲大赛中均获得较好成绩。</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昆明报业传媒集团（昆明日报社）录制了比赛视频，并在掌上春城客户端进行了宣传。</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4.项目的可持续性分析</w:t>
      </w:r>
    </w:p>
    <w:p>
      <w:pPr>
        <w:spacing w:line="600" w:lineRule="exact"/>
        <w:jc w:val="both"/>
        <w:rPr>
          <w:rFonts w:hint="default" w:ascii="仿宋" w:hAnsi="仿宋" w:eastAsia="仿宋" w:cs="仿宋"/>
          <w:sz w:val="32"/>
          <w:szCs w:val="32"/>
        </w:rPr>
      </w:pPr>
      <w:r>
        <w:rPr>
          <w:rFonts w:ascii="仿宋" w:hAnsi="仿宋" w:eastAsia="仿宋" w:cs="仿宋"/>
          <w:sz w:val="32"/>
          <w:szCs w:val="32"/>
        </w:rPr>
        <w:t xml:space="preserve">    通过组织比赛，不断推进马克思主义中国化时代化，生动阐释“中国共产党为什么能，中国特色社会主义为什么好”，深刻阐释“马克思主义之所以行”的奥妙所在。宣讲全市广大干部群众牢固树立“今天再晚也是早、明天再早也是晚”的效率意识，以时不我待的紧迫感大抓发展，奋力谱写好中国梦的云南篇章的生动实践。</w:t>
      </w:r>
    </w:p>
    <w:p>
      <w:pPr>
        <w:topLinePunct/>
        <w:spacing w:line="600" w:lineRule="exact"/>
        <w:ind w:firstLine="640" w:firstLineChars="200"/>
        <w:jc w:val="both"/>
        <w:rPr>
          <w:rFonts w:hint="default" w:ascii="黑体" w:eastAsia="黑体" w:cs="黑体"/>
          <w:sz w:val="32"/>
          <w:szCs w:val="32"/>
        </w:rPr>
      </w:pPr>
      <w:r>
        <w:rPr>
          <w:rFonts w:ascii="黑体" w:eastAsia="黑体" w:cs="黑体"/>
          <w:sz w:val="32"/>
          <w:szCs w:val="32"/>
        </w:rPr>
        <w:t>五、主要经验及做法、存在的问题和建议</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（一）主要经验及做法</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“砥砺奋进新征程 喜迎党的二十大——党的创新理论我来讲”理论宣讲大赛初赛在类别设置上严格按照市级比赛的方案设置，分语言类、文艺类两大类。语言类宣讲每队参赛人数为1人，要求口语化、通俗化，形象生动，时间15分钟以内。文艺类宣讲每队人数不超过3人，可以采用小品、情景剧、花灯歌舞、相声、快板、诗朗诵、顺口溜、音诗画等多种文艺表现形式，时间控制在10分钟之内。语言类比赛，共计28个节目，文艺类比赛，共计29个节目。评委从宣讲主题、宣讲内容、语言表达、现场表现、着装仪表、宣讲效果等方面按照百分制现场打分。采取去掉一个最高分和一个最低分，取其余分数的平均分为选手最后得分，分数保留到小数点后两位。从高到低排出名次，确定获奖名单。</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（二）存在的问题</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本次理论宣讲大赛初赛给予各位选手的准备时间不充分，参加比赛选手本身的工作比较繁重，作品有创新性，但表现形式还不足，选手演讲思路还不够开拓。</w:t>
      </w:r>
    </w:p>
    <w:p>
      <w:pPr>
        <w:spacing w:line="600" w:lineRule="exact"/>
        <w:ind w:firstLine="640" w:firstLineChars="200"/>
        <w:jc w:val="both"/>
        <w:rPr>
          <w:rFonts w:hint="default" w:ascii="楷体" w:hAnsi="楷体" w:eastAsia="楷体" w:cs="楷体"/>
          <w:sz w:val="32"/>
          <w:szCs w:val="32"/>
        </w:rPr>
      </w:pPr>
      <w:r>
        <w:rPr>
          <w:rFonts w:ascii="楷体" w:hAnsi="楷体" w:eastAsia="楷体" w:cs="楷体"/>
          <w:sz w:val="32"/>
          <w:szCs w:val="32"/>
        </w:rPr>
        <w:t>（三）改进措施及建议</w:t>
      </w:r>
    </w:p>
    <w:p>
      <w:pPr>
        <w:spacing w:line="600" w:lineRule="exact"/>
        <w:ind w:firstLine="640" w:firstLineChars="200"/>
        <w:jc w:val="both"/>
        <w:rPr>
          <w:rFonts w:hint="default" w:ascii="仿宋" w:hAnsi="仿宋" w:eastAsia="仿宋" w:cs="仿宋"/>
          <w:sz w:val="32"/>
          <w:szCs w:val="32"/>
        </w:rPr>
      </w:pPr>
      <w:r>
        <w:rPr>
          <w:rFonts w:ascii="仿宋" w:hAnsi="仿宋" w:eastAsia="仿宋" w:cs="仿宋"/>
          <w:sz w:val="32"/>
          <w:szCs w:val="32"/>
        </w:rPr>
        <w:t>在下一届比赛的组织当中，在前期策划上，尽可能多给选手一些准备时间，给选送单位要给予推荐参加市赛的选手更多地指导和准备。</w:t>
      </w:r>
    </w:p>
    <w:p>
      <w:pPr>
        <w:pStyle w:val="71"/>
        <w:shd w:val="clear" w:color="auto" w:fill="FFFFFF"/>
        <w:spacing w:line="590" w:lineRule="atLeast"/>
        <w:ind w:firstLine="600"/>
        <w:jc w:val="both"/>
        <w:rPr>
          <w:rFonts w:hint="default" w:cs="宋体"/>
          <w:shd w:val="clear" w:color="auto" w:fill="FFFFFF"/>
        </w:rPr>
      </w:pPr>
      <w:r>
        <w:rPr>
          <w:rFonts w:cs="宋体"/>
          <w:shd w:val="clear" w:color="auto" w:fill="FFFFFF"/>
        </w:rPr>
        <w:t xml:space="preserve"> </w:t>
      </w:r>
    </w:p>
    <w:p>
      <w:pPr>
        <w:pStyle w:val="71"/>
        <w:shd w:val="clear" w:color="auto" w:fill="FFFFFF"/>
        <w:spacing w:line="590" w:lineRule="atLeast"/>
        <w:ind w:firstLine="600"/>
        <w:jc w:val="both"/>
        <w:rPr>
          <w:rFonts w:hint="default" w:cs="宋体"/>
        </w:rPr>
      </w:pPr>
      <w:r>
        <w:rPr>
          <w:rFonts w:cs="宋体"/>
          <w:shd w:val="clear" w:color="auto" w:fill="FFFFFF"/>
        </w:rPr>
        <w:t xml:space="preserve"> </w:t>
      </w:r>
    </w:p>
    <w:p>
      <w:pPr>
        <w:rPr>
          <w:rFonts w:hint="default" w:ascii="Arial" w:hAnsi="Arial" w:eastAsia="Arial" w:cs="Arial"/>
          <w:b/>
          <w:sz w:val="36"/>
        </w:rPr>
      </w:pPr>
      <w:r>
        <w:rPr>
          <w:rFonts w:ascii="Arial" w:hAnsi="Arial" w:eastAsia="Arial" w:cs="Arial"/>
          <w:b/>
          <w:sz w:val="36"/>
        </w:rPr>
        <w:t>监督索引号53010000373801111</w:t>
      </w:r>
    </w:p>
    <w:sectPr>
      <w:pgSz w:w="11915" w:h="16840"/>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大标宋简体">
    <w:altName w:val="Arial Unicode MS"/>
    <w:panose1 w:val="00000000000000000000"/>
    <w:charset w:val="00"/>
    <w:family w:val="auto"/>
    <w:pitch w:val="default"/>
    <w:sig w:usb0="00000000" w:usb1="00000000" w:usb2="00000000" w:usb3="00000000" w:csb0="00000000" w:csb1="0000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altName w:val="Arial Unicode MS"/>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hint="default"/>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default"/>
                            </w:rPr>
                          </w:pPr>
                          <w:r>
                            <w:fldChar w:fldCharType="begin"/>
                          </w:r>
                          <w:r>
                            <w:instrText xml:space="preserve"> PAGE  \* MERGEFORMAT </w:instrText>
                          </w:r>
                          <w:r>
                            <w:fldChar w:fldCharType="separate"/>
                          </w:r>
                          <w:r>
                            <w:rPr>
                              <w:rFonts w:hint="default"/>
                            </w:rP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1"/>
                      <w:rPr>
                        <w:rFonts w:hint="default"/>
                      </w:rPr>
                    </w:pPr>
                    <w:r>
                      <w:fldChar w:fldCharType="begin"/>
                    </w:r>
                    <w:r>
                      <w:instrText xml:space="preserve"> PAGE  \* MERGEFORMAT </w:instrText>
                    </w:r>
                    <w:r>
                      <w:fldChar w:fldCharType="separate"/>
                    </w:r>
                    <w:r>
                      <w:rPr>
                        <w:rFonts w:hint="default"/>
                      </w:rPr>
                      <w:t>11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3F34B8"/>
    <w:multiLevelType w:val="multilevel"/>
    <w:tmpl w:val="7D3F34B8"/>
    <w:lvl w:ilvl="0" w:tentative="0">
      <w:start w:val="3"/>
      <w:numFmt w:val="chineseCounting"/>
      <w:suff w:val="nothing"/>
      <w:lvlText w:val="%1、"/>
      <w:lvlJc w:val="left"/>
      <w:pPr>
        <w:tabs>
          <w:tab w:val="left" w:pos="0"/>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7"/>
  <w:displayHorizontalDrawingGridEvery w:val="0"/>
  <w:displayVerticalDrawingGridEvery w:val="2"/>
  <w:noPunctuationKerning w:val="1"/>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3ZTMyMjg3M2ZhMzBiYjc5ZmZhMjgzNmRlYWZiMDkifQ=="/>
  </w:docVars>
  <w:rsids>
    <w:rsidRoot w:val="004F1A69"/>
    <w:rsid w:val="00014A70"/>
    <w:rsid w:val="00077068"/>
    <w:rsid w:val="000839A1"/>
    <w:rsid w:val="000A3590"/>
    <w:rsid w:val="000B3635"/>
    <w:rsid w:val="00105156"/>
    <w:rsid w:val="00112984"/>
    <w:rsid w:val="00121E00"/>
    <w:rsid w:val="0017066F"/>
    <w:rsid w:val="0017198F"/>
    <w:rsid w:val="00175057"/>
    <w:rsid w:val="001A6ABA"/>
    <w:rsid w:val="001D4F0B"/>
    <w:rsid w:val="002029E0"/>
    <w:rsid w:val="00204522"/>
    <w:rsid w:val="002129CD"/>
    <w:rsid w:val="00215C1E"/>
    <w:rsid w:val="002922F8"/>
    <w:rsid w:val="00295109"/>
    <w:rsid w:val="002A566E"/>
    <w:rsid w:val="002B2269"/>
    <w:rsid w:val="002C6904"/>
    <w:rsid w:val="002E138F"/>
    <w:rsid w:val="003366F1"/>
    <w:rsid w:val="00380779"/>
    <w:rsid w:val="003974EB"/>
    <w:rsid w:val="004050B1"/>
    <w:rsid w:val="0041176E"/>
    <w:rsid w:val="00444091"/>
    <w:rsid w:val="00462EEE"/>
    <w:rsid w:val="0047724D"/>
    <w:rsid w:val="00481074"/>
    <w:rsid w:val="004962C2"/>
    <w:rsid w:val="004B1239"/>
    <w:rsid w:val="004C624E"/>
    <w:rsid w:val="004E4D54"/>
    <w:rsid w:val="004F1A69"/>
    <w:rsid w:val="00525F1C"/>
    <w:rsid w:val="00570014"/>
    <w:rsid w:val="005736D7"/>
    <w:rsid w:val="00591F6A"/>
    <w:rsid w:val="005F2C14"/>
    <w:rsid w:val="00630C7A"/>
    <w:rsid w:val="00652155"/>
    <w:rsid w:val="00655446"/>
    <w:rsid w:val="00666A42"/>
    <w:rsid w:val="00666D7D"/>
    <w:rsid w:val="00697368"/>
    <w:rsid w:val="00701751"/>
    <w:rsid w:val="00707D8E"/>
    <w:rsid w:val="0074049E"/>
    <w:rsid w:val="007437C9"/>
    <w:rsid w:val="00747292"/>
    <w:rsid w:val="007D3AE4"/>
    <w:rsid w:val="007E19FD"/>
    <w:rsid w:val="007F388E"/>
    <w:rsid w:val="00825C33"/>
    <w:rsid w:val="00832E31"/>
    <w:rsid w:val="00891335"/>
    <w:rsid w:val="008B564D"/>
    <w:rsid w:val="008D078C"/>
    <w:rsid w:val="00902774"/>
    <w:rsid w:val="00903D72"/>
    <w:rsid w:val="0092093F"/>
    <w:rsid w:val="009362BF"/>
    <w:rsid w:val="009546C8"/>
    <w:rsid w:val="00954C42"/>
    <w:rsid w:val="00983F5F"/>
    <w:rsid w:val="00992BE6"/>
    <w:rsid w:val="009C6BEE"/>
    <w:rsid w:val="009E153B"/>
    <w:rsid w:val="00A55DF8"/>
    <w:rsid w:val="00A77516"/>
    <w:rsid w:val="00A810DD"/>
    <w:rsid w:val="00AA3DA8"/>
    <w:rsid w:val="00B02DD2"/>
    <w:rsid w:val="00B07AA5"/>
    <w:rsid w:val="00B23EF1"/>
    <w:rsid w:val="00B335C3"/>
    <w:rsid w:val="00B46E50"/>
    <w:rsid w:val="00B86192"/>
    <w:rsid w:val="00C32857"/>
    <w:rsid w:val="00C546A7"/>
    <w:rsid w:val="00C62277"/>
    <w:rsid w:val="00CD0060"/>
    <w:rsid w:val="00CD1BB3"/>
    <w:rsid w:val="00CD623A"/>
    <w:rsid w:val="00CE0B21"/>
    <w:rsid w:val="00D063E4"/>
    <w:rsid w:val="00D067A2"/>
    <w:rsid w:val="00D4612C"/>
    <w:rsid w:val="00D52D3E"/>
    <w:rsid w:val="00D817A1"/>
    <w:rsid w:val="00D81ECA"/>
    <w:rsid w:val="00DB4820"/>
    <w:rsid w:val="00DC6FB5"/>
    <w:rsid w:val="00DF05EF"/>
    <w:rsid w:val="00DF2422"/>
    <w:rsid w:val="00E02BC9"/>
    <w:rsid w:val="00E27057"/>
    <w:rsid w:val="00E41CE1"/>
    <w:rsid w:val="00E5503C"/>
    <w:rsid w:val="00EA0961"/>
    <w:rsid w:val="00F07508"/>
    <w:rsid w:val="00F2119C"/>
    <w:rsid w:val="00F509D9"/>
    <w:rsid w:val="00F5227B"/>
    <w:rsid w:val="00F9287C"/>
    <w:rsid w:val="00F95D89"/>
    <w:rsid w:val="00FF3B31"/>
    <w:rsid w:val="10794D0D"/>
    <w:rsid w:val="41EE6D02"/>
    <w:rsid w:val="44390E1D"/>
    <w:rsid w:val="48674EE0"/>
    <w:rsid w:val="6A7C70E4"/>
    <w:rsid w:val="6BC709F0"/>
    <w:rsid w:val="6BDF5E47"/>
    <w:rsid w:val="702D7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99"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unhideWhenUsed/>
    <w:qFormat/>
    <w:uiPriority w:val="99"/>
    <w:rPr>
      <w:rFonts w:hint="eastAsia" w:ascii="宋体" w:hAnsi="宋体" w:eastAsia="宋体" w:cs="Times New Roman"/>
      <w:sz w:val="24"/>
      <w:szCs w:val="24"/>
      <w:lang w:val="en-US" w:eastAsia="zh-CN" w:bidi="ar-SA"/>
    </w:rPr>
  </w:style>
  <w:style w:type="paragraph" w:styleId="2">
    <w:name w:val="heading 1"/>
    <w:basedOn w:val="1"/>
    <w:next w:val="1"/>
    <w:qFormat/>
    <w:uiPriority w:val="0"/>
    <w:pPr>
      <w:keepNext/>
      <w:keepLines/>
      <w:widowControl w:val="0"/>
      <w:spacing w:before="340" w:after="330" w:line="576" w:lineRule="auto"/>
      <w:jc w:val="both"/>
      <w:outlineLvl w:val="0"/>
    </w:pPr>
    <w:rPr>
      <w:rFonts w:hint="default" w:ascii="Times New Roman" w:hAnsi="Times New Roman"/>
      <w:b/>
      <w:kern w:val="44"/>
      <w:sz w:val="44"/>
      <w:szCs w:val="44"/>
    </w:rPr>
  </w:style>
  <w:style w:type="paragraph" w:styleId="3">
    <w:name w:val="heading 2"/>
    <w:basedOn w:val="1"/>
    <w:next w:val="1"/>
    <w:autoRedefine/>
    <w:qFormat/>
    <w:uiPriority w:val="0"/>
    <w:pPr>
      <w:keepNext/>
      <w:keepLines/>
      <w:widowControl w:val="0"/>
      <w:spacing w:before="260" w:after="260" w:line="408" w:lineRule="auto"/>
      <w:jc w:val="both"/>
      <w:outlineLvl w:val="1"/>
    </w:pPr>
    <w:rPr>
      <w:rFonts w:hint="default" w:ascii="Cambria" w:hAnsi="Cambria"/>
      <w:b/>
      <w:kern w:val="2"/>
      <w:sz w:val="32"/>
      <w:szCs w:val="32"/>
    </w:rPr>
  </w:style>
  <w:style w:type="paragraph" w:styleId="4">
    <w:name w:val="heading 3"/>
    <w:basedOn w:val="1"/>
    <w:next w:val="1"/>
    <w:qFormat/>
    <w:uiPriority w:val="0"/>
    <w:pPr>
      <w:keepNext/>
      <w:keepLines/>
      <w:widowControl w:val="0"/>
      <w:spacing w:before="260" w:after="260" w:line="408" w:lineRule="auto"/>
      <w:jc w:val="both"/>
      <w:outlineLvl w:val="2"/>
    </w:pPr>
    <w:rPr>
      <w:rFonts w:hint="default" w:ascii="Times New Roman" w:hAnsi="Times New Roman"/>
      <w:b/>
      <w:kern w:val="2"/>
      <w:sz w:val="32"/>
      <w:szCs w:val="32"/>
    </w:rPr>
  </w:style>
  <w:style w:type="paragraph" w:styleId="5">
    <w:name w:val="heading 4"/>
    <w:basedOn w:val="1"/>
    <w:next w:val="1"/>
    <w:autoRedefine/>
    <w:qFormat/>
    <w:uiPriority w:val="9"/>
    <w:pPr>
      <w:spacing w:beforeAutospacing="1" w:afterAutospacing="1"/>
      <w:outlineLvl w:val="3"/>
    </w:pPr>
    <w:rPr>
      <w:b/>
    </w:rPr>
  </w:style>
  <w:style w:type="paragraph" w:styleId="6">
    <w:name w:val="heading 5"/>
    <w:basedOn w:val="1"/>
    <w:next w:val="1"/>
    <w:qFormat/>
    <w:uiPriority w:val="9"/>
    <w:pPr>
      <w:spacing w:beforeAutospacing="1" w:afterAutospacing="1"/>
      <w:outlineLvl w:val="4"/>
    </w:pPr>
    <w:rPr>
      <w:b/>
      <w:sz w:val="20"/>
      <w:szCs w:val="20"/>
    </w:rPr>
  </w:style>
  <w:style w:type="paragraph" w:styleId="7">
    <w:name w:val="heading 6"/>
    <w:basedOn w:val="1"/>
    <w:next w:val="1"/>
    <w:autoRedefine/>
    <w:qFormat/>
    <w:uiPriority w:val="9"/>
    <w:pPr>
      <w:spacing w:beforeAutospacing="1" w:afterAutospacing="1"/>
      <w:outlineLvl w:val="5"/>
    </w:pPr>
    <w:rPr>
      <w:b/>
      <w:sz w:val="15"/>
      <w:szCs w:val="15"/>
    </w:rPr>
  </w:style>
  <w:style w:type="character" w:default="1" w:styleId="18">
    <w:name w:val="Default Paragraph Font"/>
    <w:autoRedefine/>
    <w:semiHidden/>
    <w:unhideWhenUsed/>
    <w:qFormat/>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8">
    <w:name w:val="Normal Indent"/>
    <w:basedOn w:val="1"/>
    <w:qFormat/>
    <w:uiPriority w:val="0"/>
    <w:pPr>
      <w:widowControl w:val="0"/>
      <w:ind w:firstLine="420" w:firstLineChars="200"/>
      <w:jc w:val="both"/>
    </w:pPr>
    <w:rPr>
      <w:rFonts w:hint="default" w:ascii="Times New Roman" w:hAnsi="Times New Roman"/>
      <w:kern w:val="2"/>
      <w:sz w:val="21"/>
      <w:szCs w:val="21"/>
    </w:rPr>
  </w:style>
  <w:style w:type="paragraph" w:styleId="9">
    <w:name w:val="Body Text"/>
    <w:basedOn w:val="1"/>
    <w:qFormat/>
    <w:uiPriority w:val="0"/>
    <w:pPr>
      <w:widowControl w:val="0"/>
      <w:jc w:val="center"/>
    </w:pPr>
    <w:rPr>
      <w:rFonts w:hint="default" w:ascii="Calibri" w:hAnsi="Calibri" w:eastAsia="方正大标宋简体"/>
      <w:color w:val="FF0000"/>
      <w:sz w:val="36"/>
      <w:szCs w:val="36"/>
    </w:rPr>
  </w:style>
  <w:style w:type="paragraph" w:styleId="10">
    <w:name w:val="Balloon Text"/>
    <w:basedOn w:val="1"/>
    <w:autoRedefine/>
    <w:qFormat/>
    <w:uiPriority w:val="0"/>
    <w:pPr>
      <w:widowControl w:val="0"/>
      <w:jc w:val="both"/>
    </w:pPr>
    <w:rPr>
      <w:rFonts w:hint="default" w:ascii="Times New Roman" w:hAnsi="Times New Roman"/>
      <w:kern w:val="2"/>
      <w:sz w:val="18"/>
      <w:szCs w:val="18"/>
    </w:rPr>
  </w:style>
  <w:style w:type="paragraph" w:styleId="11">
    <w:name w:val="footer"/>
    <w:basedOn w:val="1"/>
    <w:autoRedefine/>
    <w:qFormat/>
    <w:uiPriority w:val="0"/>
    <w:pPr>
      <w:snapToGrid w:val="0"/>
    </w:pPr>
    <w:rPr>
      <w:sz w:val="18"/>
      <w:szCs w:val="18"/>
    </w:rPr>
  </w:style>
  <w:style w:type="paragraph" w:styleId="12">
    <w:name w:val="header"/>
    <w:basedOn w:val="1"/>
    <w:autoRedefine/>
    <w:qFormat/>
    <w:uiPriority w:val="0"/>
    <w:pPr>
      <w:pBdr>
        <w:bottom w:val="single" w:color="auto" w:sz="6" w:space="1"/>
      </w:pBdr>
      <w:snapToGrid w:val="0"/>
      <w:jc w:val="center"/>
    </w:pPr>
    <w:rPr>
      <w:sz w:val="18"/>
      <w:szCs w:val="18"/>
    </w:rPr>
  </w:style>
  <w:style w:type="paragraph" w:styleId="13">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default" w:ascii="Courier New" w:hAnsi="Courier New"/>
      <w:sz w:val="20"/>
      <w:szCs w:val="20"/>
    </w:rPr>
  </w:style>
  <w:style w:type="paragraph" w:styleId="14">
    <w:name w:val="Normal (Web)"/>
    <w:basedOn w:val="1"/>
    <w:autoRedefine/>
    <w:qFormat/>
    <w:uiPriority w:val="0"/>
    <w:pPr>
      <w:spacing w:beforeAutospacing="1" w:afterAutospacing="1"/>
    </w:pPr>
    <w:rPr>
      <w:rFonts w:hint="default" w:ascii="Calibri" w:hAnsi="Calibri"/>
    </w:rPr>
  </w:style>
  <w:style w:type="paragraph" w:styleId="15">
    <w:name w:val="Title"/>
    <w:basedOn w:val="1"/>
    <w:next w:val="1"/>
    <w:qFormat/>
    <w:uiPriority w:val="0"/>
    <w:pPr>
      <w:widowControl w:val="0"/>
      <w:spacing w:before="240" w:after="60"/>
      <w:jc w:val="center"/>
    </w:pPr>
    <w:rPr>
      <w:rFonts w:hint="default" w:ascii="Calibri Light" w:hAnsi="Calibri Light"/>
      <w:b/>
      <w:kern w:val="2"/>
      <w:sz w:val="32"/>
      <w:szCs w:val="32"/>
    </w:rPr>
  </w:style>
  <w:style w:type="table" w:styleId="17">
    <w:name w:val="Table Grid"/>
    <w:basedOn w:val="16"/>
    <w:autoRedefine/>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19">
    <w:name w:val="51"/>
    <w:basedOn w:val="18"/>
    <w:autoRedefine/>
    <w:qFormat/>
    <w:uiPriority w:val="0"/>
    <w:rPr>
      <w:rFonts w:hint="eastAsia" w:ascii="宋体" w:hAnsi="宋体" w:eastAsia="宋体" w:cs="宋体"/>
      <w:b/>
      <w:sz w:val="32"/>
      <w:szCs w:val="32"/>
    </w:rPr>
  </w:style>
  <w:style w:type="character" w:customStyle="1" w:styleId="20">
    <w:name w:val="20"/>
    <w:basedOn w:val="18"/>
    <w:autoRedefine/>
    <w:qFormat/>
    <w:uiPriority w:val="0"/>
    <w:rPr>
      <w:rFonts w:hint="default" w:ascii="Calibri Light" w:hAnsi="Calibri Light" w:eastAsia="宋体" w:cs="Times New Roman"/>
      <w:b/>
      <w:sz w:val="28"/>
      <w:szCs w:val="28"/>
    </w:rPr>
  </w:style>
  <w:style w:type="character" w:customStyle="1" w:styleId="21">
    <w:name w:val="46"/>
    <w:basedOn w:val="18"/>
    <w:autoRedefine/>
    <w:qFormat/>
    <w:uiPriority w:val="0"/>
    <w:rPr>
      <w:rFonts w:hint="default" w:ascii="Times New Roman" w:hAnsi="Times New Roman" w:cs="Times New Roman"/>
    </w:rPr>
  </w:style>
  <w:style w:type="character" w:customStyle="1" w:styleId="22">
    <w:name w:val="55"/>
    <w:basedOn w:val="18"/>
    <w:autoRedefine/>
    <w:qFormat/>
    <w:uiPriority w:val="0"/>
    <w:rPr>
      <w:rFonts w:hint="eastAsia" w:ascii="宋体" w:hAnsi="宋体" w:eastAsia="宋体" w:cs="宋体"/>
      <w:sz w:val="18"/>
      <w:szCs w:val="18"/>
    </w:rPr>
  </w:style>
  <w:style w:type="paragraph" w:customStyle="1" w:styleId="23">
    <w:name w:val="正文 sosopeng"/>
    <w:basedOn w:val="1"/>
    <w:autoRedefine/>
    <w:qFormat/>
    <w:uiPriority w:val="0"/>
    <w:pPr>
      <w:widowControl w:val="0"/>
      <w:shd w:val="clear" w:color="auto" w:fill="FFFFFF"/>
      <w:ind w:firstLine="200" w:firstLineChars="200"/>
      <w:jc w:val="both"/>
    </w:pPr>
    <w:rPr>
      <w:rFonts w:hint="default" w:ascii="Calibri" w:hAnsi="Calibri"/>
      <w:color w:val="000000"/>
      <w:kern w:val="2"/>
    </w:rPr>
  </w:style>
  <w:style w:type="character" w:customStyle="1" w:styleId="24">
    <w:name w:val="49"/>
    <w:basedOn w:val="18"/>
    <w:autoRedefine/>
    <w:qFormat/>
    <w:uiPriority w:val="0"/>
    <w:rPr>
      <w:rFonts w:hint="eastAsia" w:ascii="宋体" w:hAnsi="宋体" w:eastAsia="宋体" w:cs="宋体"/>
      <w:sz w:val="24"/>
      <w:szCs w:val="24"/>
    </w:rPr>
  </w:style>
  <w:style w:type="character" w:customStyle="1" w:styleId="25">
    <w:name w:val="42"/>
    <w:basedOn w:val="18"/>
    <w:autoRedefine/>
    <w:qFormat/>
    <w:uiPriority w:val="0"/>
    <w:rPr>
      <w:rFonts w:hint="eastAsia" w:ascii="宋体" w:hAnsi="宋体" w:eastAsia="宋体" w:cs="宋体"/>
      <w:sz w:val="18"/>
      <w:szCs w:val="18"/>
    </w:rPr>
  </w:style>
  <w:style w:type="character" w:customStyle="1" w:styleId="26">
    <w:name w:val="39"/>
    <w:basedOn w:val="18"/>
    <w:qFormat/>
    <w:uiPriority w:val="0"/>
    <w:rPr>
      <w:rFonts w:hint="eastAsia" w:ascii="宋体" w:hAnsi="宋体" w:eastAsia="宋体" w:cs="宋体"/>
      <w:b/>
      <w:kern w:val="44"/>
      <w:sz w:val="44"/>
      <w:szCs w:val="44"/>
    </w:rPr>
  </w:style>
  <w:style w:type="character" w:customStyle="1" w:styleId="27">
    <w:name w:val="28"/>
    <w:basedOn w:val="18"/>
    <w:autoRedefine/>
    <w:qFormat/>
    <w:uiPriority w:val="0"/>
    <w:rPr>
      <w:rFonts w:hint="default" w:ascii="Times New Roman" w:hAnsi="Times New Roman" w:cs="Times New Roman"/>
    </w:rPr>
  </w:style>
  <w:style w:type="character" w:customStyle="1" w:styleId="28">
    <w:name w:val="38"/>
    <w:basedOn w:val="18"/>
    <w:autoRedefine/>
    <w:qFormat/>
    <w:uiPriority w:val="0"/>
    <w:rPr>
      <w:rFonts w:hint="eastAsia" w:ascii="宋体" w:hAnsi="宋体" w:eastAsia="宋体" w:cs="宋体"/>
      <w:b/>
      <w:kern w:val="44"/>
      <w:sz w:val="44"/>
      <w:szCs w:val="44"/>
    </w:rPr>
  </w:style>
  <w:style w:type="character" w:customStyle="1" w:styleId="29">
    <w:name w:val="23"/>
    <w:basedOn w:val="18"/>
    <w:autoRedefine/>
    <w:qFormat/>
    <w:uiPriority w:val="0"/>
    <w:rPr>
      <w:rFonts w:hint="default" w:ascii="Times New Roman" w:hAnsi="Times New Roman" w:eastAsia="宋体" w:cs="Times New Roman"/>
      <w:i/>
    </w:rPr>
  </w:style>
  <w:style w:type="character" w:customStyle="1" w:styleId="30">
    <w:name w:val="41"/>
    <w:basedOn w:val="18"/>
    <w:qFormat/>
    <w:uiPriority w:val="0"/>
    <w:rPr>
      <w:rFonts w:hint="default" w:ascii="Calibri Light" w:hAnsi="Calibri Light" w:eastAsia="宋体" w:cs="Times New Roman"/>
      <w:b/>
      <w:sz w:val="32"/>
      <w:szCs w:val="32"/>
    </w:rPr>
  </w:style>
  <w:style w:type="character" w:customStyle="1" w:styleId="31">
    <w:name w:val="35"/>
    <w:basedOn w:val="18"/>
    <w:autoRedefine/>
    <w:qFormat/>
    <w:uiPriority w:val="0"/>
    <w:rPr>
      <w:rFonts w:hint="default" w:ascii="Times New Roman" w:hAnsi="Times New Roman" w:cs="Times New Roman"/>
    </w:rPr>
  </w:style>
  <w:style w:type="character" w:customStyle="1" w:styleId="32">
    <w:name w:val="52"/>
    <w:basedOn w:val="18"/>
    <w:autoRedefine/>
    <w:qFormat/>
    <w:uiPriority w:val="0"/>
    <w:rPr>
      <w:rFonts w:hint="eastAsia" w:ascii="宋体" w:hAnsi="宋体" w:eastAsia="宋体" w:cs="宋体"/>
      <w:sz w:val="18"/>
      <w:szCs w:val="18"/>
    </w:rPr>
  </w:style>
  <w:style w:type="character" w:customStyle="1" w:styleId="33">
    <w:name w:val="10"/>
    <w:basedOn w:val="18"/>
    <w:autoRedefine/>
    <w:qFormat/>
    <w:uiPriority w:val="0"/>
    <w:rPr>
      <w:rFonts w:hint="default" w:ascii="Times New Roman" w:hAnsi="Times New Roman" w:cs="Times New Roman"/>
    </w:rPr>
  </w:style>
  <w:style w:type="character" w:customStyle="1" w:styleId="34">
    <w:name w:val="15"/>
    <w:basedOn w:val="18"/>
    <w:autoRedefine/>
    <w:qFormat/>
    <w:uiPriority w:val="0"/>
    <w:rPr>
      <w:rFonts w:hint="eastAsia" w:ascii="宋体" w:hAnsi="宋体" w:eastAsia="宋体" w:cs="宋体"/>
      <w:sz w:val="18"/>
      <w:szCs w:val="18"/>
    </w:rPr>
  </w:style>
  <w:style w:type="character" w:customStyle="1" w:styleId="35">
    <w:name w:val="43"/>
    <w:basedOn w:val="18"/>
    <w:autoRedefine/>
    <w:qFormat/>
    <w:uiPriority w:val="0"/>
    <w:rPr>
      <w:rFonts w:hint="default" w:ascii="Calibri Light" w:hAnsi="Calibri Light" w:eastAsia="宋体" w:cs="Times New Roman"/>
      <w:b/>
      <w:sz w:val="24"/>
      <w:szCs w:val="24"/>
    </w:rPr>
  </w:style>
  <w:style w:type="character" w:customStyle="1" w:styleId="36">
    <w:name w:val="45"/>
    <w:basedOn w:val="18"/>
    <w:autoRedefine/>
    <w:qFormat/>
    <w:uiPriority w:val="0"/>
    <w:rPr>
      <w:rFonts w:hint="eastAsia" w:ascii="宋体" w:hAnsi="宋体" w:eastAsia="宋体" w:cs="宋体"/>
      <w:sz w:val="18"/>
      <w:szCs w:val="18"/>
    </w:rPr>
  </w:style>
  <w:style w:type="character" w:customStyle="1" w:styleId="37">
    <w:name w:val="16"/>
    <w:basedOn w:val="18"/>
    <w:autoRedefine/>
    <w:qFormat/>
    <w:uiPriority w:val="0"/>
    <w:rPr>
      <w:rFonts w:hint="default" w:ascii="Times New Roman" w:hAnsi="Times New Roman" w:cs="Times New Roman"/>
    </w:rPr>
  </w:style>
  <w:style w:type="character" w:customStyle="1" w:styleId="38">
    <w:name w:val="17"/>
    <w:basedOn w:val="18"/>
    <w:autoRedefine/>
    <w:qFormat/>
    <w:uiPriority w:val="0"/>
    <w:rPr>
      <w:rFonts w:hint="default" w:ascii="Cambria" w:hAnsi="Cambria" w:eastAsia="宋体" w:cs="Cambria"/>
      <w:b/>
      <w:kern w:val="2"/>
      <w:sz w:val="32"/>
      <w:szCs w:val="32"/>
    </w:rPr>
  </w:style>
  <w:style w:type="paragraph" w:customStyle="1" w:styleId="39">
    <w:name w:val="HTML 预设格式 Char1"/>
    <w:basedOn w:val="1"/>
    <w:autoRedefine/>
    <w:qFormat/>
    <w:uiPriority w:val="0"/>
    <w:rPr>
      <w:rFonts w:hint="default" w:ascii="Courier New" w:hAnsi="Courier New"/>
      <w:sz w:val="20"/>
      <w:szCs w:val="20"/>
    </w:rPr>
  </w:style>
  <w:style w:type="character" w:customStyle="1" w:styleId="40">
    <w:name w:val="18"/>
    <w:basedOn w:val="18"/>
    <w:autoRedefine/>
    <w:qFormat/>
    <w:uiPriority w:val="0"/>
    <w:rPr>
      <w:rFonts w:hint="default" w:ascii="Calibri Light" w:hAnsi="Calibri Light" w:eastAsia="宋体" w:cs="Calibri Light"/>
      <w:b/>
      <w:kern w:val="2"/>
      <w:sz w:val="32"/>
      <w:szCs w:val="32"/>
    </w:rPr>
  </w:style>
  <w:style w:type="character" w:customStyle="1" w:styleId="41">
    <w:name w:val="19"/>
    <w:basedOn w:val="18"/>
    <w:autoRedefine/>
    <w:qFormat/>
    <w:uiPriority w:val="0"/>
    <w:rPr>
      <w:rFonts w:hint="default" w:ascii="Calibri Light" w:hAnsi="Calibri Light" w:eastAsia="宋体" w:cs="Times New Roman"/>
      <w:b/>
      <w:sz w:val="32"/>
      <w:szCs w:val="32"/>
    </w:rPr>
  </w:style>
  <w:style w:type="character" w:customStyle="1" w:styleId="42">
    <w:name w:val="24"/>
    <w:basedOn w:val="18"/>
    <w:autoRedefine/>
    <w:qFormat/>
    <w:uiPriority w:val="0"/>
    <w:rPr>
      <w:rFonts w:hint="eastAsia" w:ascii="宋体" w:hAnsi="宋体" w:eastAsia="宋体" w:cs="宋体"/>
      <w:b/>
      <w:sz w:val="32"/>
      <w:szCs w:val="32"/>
    </w:rPr>
  </w:style>
  <w:style w:type="character" w:customStyle="1" w:styleId="43">
    <w:name w:val="21"/>
    <w:basedOn w:val="18"/>
    <w:qFormat/>
    <w:uiPriority w:val="0"/>
    <w:rPr>
      <w:rFonts w:hint="default" w:ascii="Calibri Light" w:hAnsi="Calibri Light" w:eastAsia="宋体" w:cs="Times New Roman"/>
      <w:b/>
      <w:sz w:val="32"/>
      <w:szCs w:val="32"/>
    </w:rPr>
  </w:style>
  <w:style w:type="character" w:customStyle="1" w:styleId="44">
    <w:name w:val="22"/>
    <w:basedOn w:val="18"/>
    <w:qFormat/>
    <w:uiPriority w:val="0"/>
    <w:rPr>
      <w:rFonts w:hint="default" w:ascii="Times New Roman" w:hAnsi="Times New Roman" w:eastAsia="宋体" w:cs="Times New Roman"/>
      <w:b/>
    </w:rPr>
  </w:style>
  <w:style w:type="character" w:customStyle="1" w:styleId="45">
    <w:name w:val="25"/>
    <w:basedOn w:val="18"/>
    <w:qFormat/>
    <w:uiPriority w:val="0"/>
    <w:rPr>
      <w:rFonts w:hint="eastAsia" w:ascii="宋体" w:hAnsi="宋体" w:eastAsia="宋体" w:cs="宋体"/>
      <w:sz w:val="24"/>
      <w:szCs w:val="24"/>
    </w:rPr>
  </w:style>
  <w:style w:type="character" w:customStyle="1" w:styleId="46">
    <w:name w:val="26"/>
    <w:basedOn w:val="18"/>
    <w:autoRedefine/>
    <w:qFormat/>
    <w:uiPriority w:val="0"/>
    <w:rPr>
      <w:rFonts w:hint="eastAsia" w:ascii="宋体" w:hAnsi="宋体" w:eastAsia="宋体" w:cs="宋体"/>
      <w:b/>
      <w:sz w:val="28"/>
      <w:szCs w:val="28"/>
    </w:rPr>
  </w:style>
  <w:style w:type="character" w:customStyle="1" w:styleId="47">
    <w:name w:val="27"/>
    <w:basedOn w:val="18"/>
    <w:autoRedefine/>
    <w:qFormat/>
    <w:uiPriority w:val="0"/>
    <w:rPr>
      <w:rFonts w:hint="default" w:ascii="Calibri Light" w:hAnsi="Calibri Light" w:eastAsia="宋体" w:cs="Times New Roman"/>
      <w:b/>
      <w:sz w:val="28"/>
      <w:szCs w:val="28"/>
    </w:rPr>
  </w:style>
  <w:style w:type="character" w:customStyle="1" w:styleId="48">
    <w:name w:val="29"/>
    <w:basedOn w:val="18"/>
    <w:autoRedefine/>
    <w:qFormat/>
    <w:uiPriority w:val="0"/>
    <w:rPr>
      <w:rFonts w:hint="eastAsia" w:ascii="宋体" w:hAnsi="宋体" w:eastAsia="宋体" w:cs="宋体"/>
      <w:sz w:val="18"/>
      <w:szCs w:val="18"/>
    </w:rPr>
  </w:style>
  <w:style w:type="character" w:customStyle="1" w:styleId="49">
    <w:name w:val="30"/>
    <w:basedOn w:val="18"/>
    <w:qFormat/>
    <w:uiPriority w:val="0"/>
    <w:rPr>
      <w:rFonts w:hint="eastAsia" w:ascii="宋体" w:hAnsi="宋体" w:eastAsia="宋体" w:cs="宋体"/>
      <w:b/>
      <w:sz w:val="28"/>
      <w:szCs w:val="28"/>
    </w:rPr>
  </w:style>
  <w:style w:type="character" w:customStyle="1" w:styleId="50">
    <w:name w:val="31"/>
    <w:basedOn w:val="18"/>
    <w:qFormat/>
    <w:uiPriority w:val="0"/>
    <w:rPr>
      <w:rFonts w:hint="eastAsia" w:ascii="宋体" w:hAnsi="宋体" w:eastAsia="宋体" w:cs="宋体"/>
      <w:sz w:val="18"/>
      <w:szCs w:val="18"/>
    </w:rPr>
  </w:style>
  <w:style w:type="character" w:customStyle="1" w:styleId="51">
    <w:name w:val="32"/>
    <w:basedOn w:val="18"/>
    <w:qFormat/>
    <w:uiPriority w:val="0"/>
    <w:rPr>
      <w:rFonts w:hint="eastAsia" w:ascii="宋体" w:hAnsi="宋体" w:eastAsia="宋体" w:cs="宋体"/>
      <w:sz w:val="18"/>
      <w:szCs w:val="18"/>
    </w:rPr>
  </w:style>
  <w:style w:type="character" w:customStyle="1" w:styleId="52">
    <w:name w:val="33"/>
    <w:basedOn w:val="18"/>
    <w:autoRedefine/>
    <w:qFormat/>
    <w:uiPriority w:val="0"/>
    <w:rPr>
      <w:rFonts w:hint="default" w:ascii="Courier New" w:hAnsi="Courier New" w:eastAsia="宋体" w:cs="Courier New"/>
    </w:rPr>
  </w:style>
  <w:style w:type="character" w:customStyle="1" w:styleId="53">
    <w:name w:val="34"/>
    <w:basedOn w:val="18"/>
    <w:autoRedefine/>
    <w:qFormat/>
    <w:uiPriority w:val="0"/>
    <w:rPr>
      <w:rFonts w:hint="eastAsia" w:ascii="宋体" w:hAnsi="宋体" w:eastAsia="宋体" w:cs="宋体"/>
      <w:b/>
      <w:kern w:val="44"/>
      <w:sz w:val="44"/>
      <w:szCs w:val="44"/>
    </w:rPr>
  </w:style>
  <w:style w:type="paragraph" w:customStyle="1" w:styleId="54">
    <w:name w:val="TOC 标题1"/>
    <w:basedOn w:val="2"/>
    <w:next w:val="1"/>
    <w:autoRedefine/>
    <w:qFormat/>
    <w:uiPriority w:val="0"/>
    <w:pPr>
      <w:widowControl/>
      <w:spacing w:before="480" w:after="0" w:line="264" w:lineRule="auto"/>
      <w:jc w:val="left"/>
    </w:pPr>
    <w:rPr>
      <w:rFonts w:ascii="Cambria" w:hAnsi="Cambria"/>
      <w:color w:val="365F91"/>
      <w:kern w:val="0"/>
      <w:sz w:val="28"/>
      <w:szCs w:val="28"/>
    </w:rPr>
  </w:style>
  <w:style w:type="paragraph" w:customStyle="1" w:styleId="55">
    <w:name w:val="普通(网站) Char"/>
    <w:basedOn w:val="1"/>
    <w:autoRedefine/>
    <w:qFormat/>
    <w:uiPriority w:val="0"/>
    <w:pPr>
      <w:widowControl w:val="0"/>
      <w:spacing w:beforeAutospacing="1" w:afterAutospacing="1"/>
    </w:pPr>
    <w:rPr>
      <w:rFonts w:hint="default" w:ascii="Calibri" w:hAnsi="Calibri"/>
    </w:rPr>
  </w:style>
  <w:style w:type="paragraph" w:customStyle="1" w:styleId="56">
    <w:name w:val="Header or footer|2"/>
    <w:basedOn w:val="1"/>
    <w:autoRedefine/>
    <w:qFormat/>
    <w:uiPriority w:val="0"/>
    <w:pPr>
      <w:widowControl w:val="0"/>
    </w:pPr>
    <w:rPr>
      <w:rFonts w:hint="default" w:ascii="Times New Roman" w:hAnsi="Times New Roman"/>
      <w:color w:val="000000"/>
      <w:sz w:val="20"/>
      <w:szCs w:val="20"/>
    </w:rPr>
  </w:style>
  <w:style w:type="character" w:customStyle="1" w:styleId="57">
    <w:name w:val="36"/>
    <w:basedOn w:val="18"/>
    <w:qFormat/>
    <w:uiPriority w:val="0"/>
    <w:rPr>
      <w:rFonts w:hint="default" w:ascii="Calibri Light" w:hAnsi="Calibri Light" w:eastAsia="宋体" w:cs="Times New Roman"/>
      <w:b/>
      <w:sz w:val="32"/>
      <w:szCs w:val="32"/>
    </w:rPr>
  </w:style>
  <w:style w:type="character" w:customStyle="1" w:styleId="58">
    <w:name w:val="37"/>
    <w:basedOn w:val="18"/>
    <w:autoRedefine/>
    <w:qFormat/>
    <w:uiPriority w:val="0"/>
    <w:rPr>
      <w:rFonts w:hint="default" w:ascii="Times New Roman" w:hAnsi="Times New Roman" w:eastAsia="宋体" w:cs="Times New Roman"/>
      <w:color w:val="954F72"/>
      <w:u w:val="single"/>
    </w:rPr>
  </w:style>
  <w:style w:type="character" w:customStyle="1" w:styleId="59">
    <w:name w:val="40"/>
    <w:basedOn w:val="18"/>
    <w:autoRedefine/>
    <w:qFormat/>
    <w:uiPriority w:val="0"/>
    <w:rPr>
      <w:rFonts w:hint="default" w:ascii="Times New Roman" w:hAnsi="Times New Roman" w:eastAsia="宋体" w:cs="Times New Roman"/>
      <w:color w:val="0000FF"/>
      <w:u w:val="single"/>
    </w:rPr>
  </w:style>
  <w:style w:type="paragraph" w:customStyle="1" w:styleId="60">
    <w:name w:val="正文 A"/>
    <w:basedOn w:val="1"/>
    <w:autoRedefine/>
    <w:qFormat/>
    <w:uiPriority w:val="0"/>
    <w:pPr>
      <w:spacing w:after="200" w:line="264" w:lineRule="auto"/>
    </w:pPr>
    <w:rPr>
      <w:rFonts w:hint="default" w:ascii="Times New Roman" w:hAnsi="Times New Roman"/>
      <w:color w:val="000000"/>
      <w:sz w:val="22"/>
      <w:szCs w:val="22"/>
    </w:rPr>
  </w:style>
  <w:style w:type="character" w:customStyle="1" w:styleId="61">
    <w:name w:val="44"/>
    <w:basedOn w:val="18"/>
    <w:autoRedefine/>
    <w:qFormat/>
    <w:uiPriority w:val="0"/>
    <w:rPr>
      <w:rFonts w:hint="default" w:ascii="Times New Roman" w:hAnsi="Times New Roman" w:eastAsia="宋体" w:cs="Times New Roman"/>
    </w:rPr>
  </w:style>
  <w:style w:type="character" w:customStyle="1" w:styleId="62">
    <w:name w:val="47"/>
    <w:basedOn w:val="18"/>
    <w:autoRedefine/>
    <w:qFormat/>
    <w:uiPriority w:val="0"/>
    <w:rPr>
      <w:rFonts w:hint="default" w:ascii="Calibri Light" w:hAnsi="Calibri Light" w:eastAsia="宋体" w:cs="Times New Roman"/>
      <w:b/>
      <w:sz w:val="24"/>
      <w:szCs w:val="24"/>
    </w:rPr>
  </w:style>
  <w:style w:type="character" w:customStyle="1" w:styleId="63">
    <w:name w:val="48"/>
    <w:basedOn w:val="18"/>
    <w:autoRedefine/>
    <w:qFormat/>
    <w:uiPriority w:val="0"/>
    <w:rPr>
      <w:rFonts w:hint="eastAsia" w:ascii="宋体" w:hAnsi="宋体" w:eastAsia="宋体" w:cs="宋体"/>
      <w:b/>
      <w:kern w:val="2"/>
      <w:sz w:val="32"/>
      <w:szCs w:val="32"/>
    </w:rPr>
  </w:style>
  <w:style w:type="paragraph" w:customStyle="1" w:styleId="64">
    <w:name w:val="Heading1"/>
    <w:basedOn w:val="1"/>
    <w:next w:val="1"/>
    <w:autoRedefine/>
    <w:qFormat/>
    <w:uiPriority w:val="0"/>
    <w:pPr>
      <w:widowControl w:val="0"/>
      <w:spacing w:beforeAutospacing="1" w:afterAutospacing="1"/>
    </w:pPr>
    <w:rPr>
      <w:b/>
      <w:kern w:val="44"/>
      <w:sz w:val="48"/>
      <w:szCs w:val="48"/>
    </w:rPr>
  </w:style>
  <w:style w:type="character" w:customStyle="1" w:styleId="65">
    <w:name w:val="50"/>
    <w:basedOn w:val="18"/>
    <w:autoRedefine/>
    <w:qFormat/>
    <w:uiPriority w:val="0"/>
    <w:rPr>
      <w:rFonts w:hint="default" w:ascii="Courier New" w:hAnsi="Courier New" w:eastAsia="宋体" w:cs="Courier New"/>
    </w:rPr>
  </w:style>
  <w:style w:type="character" w:customStyle="1" w:styleId="66">
    <w:name w:val="53"/>
    <w:basedOn w:val="18"/>
    <w:autoRedefine/>
    <w:qFormat/>
    <w:uiPriority w:val="0"/>
    <w:rPr>
      <w:rFonts w:hint="default" w:ascii="Calibri" w:hAnsi="Calibri" w:eastAsia="方正大标宋简体" w:cs="Calibri"/>
      <w:color w:val="FF0000"/>
      <w:sz w:val="36"/>
      <w:szCs w:val="36"/>
    </w:rPr>
  </w:style>
  <w:style w:type="character" w:customStyle="1" w:styleId="67">
    <w:name w:val="54"/>
    <w:basedOn w:val="18"/>
    <w:autoRedefine/>
    <w:qFormat/>
    <w:uiPriority w:val="0"/>
    <w:rPr>
      <w:rFonts w:hint="eastAsia" w:ascii="宋体" w:hAnsi="宋体" w:eastAsia="宋体" w:cs="宋体"/>
      <w:kern w:val="2"/>
      <w:sz w:val="18"/>
      <w:szCs w:val="18"/>
    </w:rPr>
  </w:style>
  <w:style w:type="paragraph" w:customStyle="1" w:styleId="68">
    <w:name w:val="HTML 预设格式 Char"/>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default" w:ascii="Courier New" w:hAnsi="Courier New"/>
      <w:sz w:val="20"/>
      <w:szCs w:val="20"/>
    </w:rPr>
  </w:style>
  <w:style w:type="paragraph" w:customStyle="1" w:styleId="69">
    <w:name w:val="Normal Indent1"/>
    <w:basedOn w:val="1"/>
    <w:autoRedefine/>
    <w:qFormat/>
    <w:uiPriority w:val="0"/>
    <w:pPr>
      <w:widowControl w:val="0"/>
      <w:ind w:firstLine="420" w:firstLineChars="200"/>
      <w:jc w:val="both"/>
    </w:pPr>
    <w:rPr>
      <w:rFonts w:hint="default" w:ascii="Times New Roman" w:hAnsi="Times New Roman"/>
      <w:kern w:val="2"/>
      <w:sz w:val="21"/>
      <w:szCs w:val="21"/>
    </w:rPr>
  </w:style>
  <w:style w:type="paragraph" w:customStyle="1" w:styleId="70">
    <w:name w:val="p_pMsoNormal"/>
    <w:basedOn w:val="1"/>
    <w:autoRedefine/>
    <w:qFormat/>
    <w:uiPriority w:val="0"/>
    <w:pPr>
      <w:jc w:val="both"/>
    </w:pPr>
    <w:rPr>
      <w:rFonts w:hint="default" w:ascii="等线" w:hAnsi="等线" w:eastAsia="等线"/>
      <w:sz w:val="21"/>
      <w:szCs w:val="21"/>
    </w:rPr>
  </w:style>
  <w:style w:type="paragraph" w:customStyle="1" w:styleId="71">
    <w:name w:val="p_MsoNormal"/>
    <w:basedOn w:val="1"/>
    <w:autoRedefine/>
    <w:qFormat/>
    <w:uiPriority w:val="0"/>
  </w:style>
  <w:style w:type="paragraph" w:customStyle="1" w:styleId="72">
    <w:name w:val="无间隔1"/>
    <w:basedOn w:val="1"/>
    <w:autoRedefine/>
    <w:qFormat/>
    <w:uiPriority w:val="0"/>
    <w:pPr>
      <w:widowControl w:val="0"/>
      <w:jc w:val="both"/>
    </w:pPr>
    <w:rPr>
      <w:rFonts w:hint="default" w:ascii="Times New Roman" w:hAnsi="Times New Roman"/>
      <w:kern w:val="2"/>
      <w:sz w:val="21"/>
      <w:szCs w:val="21"/>
    </w:rPr>
  </w:style>
  <w:style w:type="paragraph" w:customStyle="1" w:styleId="73">
    <w:name w:val="msolistparagraph"/>
    <w:basedOn w:val="1"/>
    <w:qFormat/>
    <w:uiPriority w:val="0"/>
    <w:pPr>
      <w:widowControl w:val="0"/>
      <w:ind w:firstLine="420" w:firstLineChars="200"/>
    </w:pPr>
    <w:rPr>
      <w:rFonts w:hint="default" w:ascii="Times New Roman" w:hAnsi="Times New Roman"/>
      <w:color w:val="000000"/>
    </w:rPr>
  </w:style>
  <w:style w:type="paragraph" w:customStyle="1" w:styleId="74">
    <w:name w:val="Heading #2|1"/>
    <w:basedOn w:val="1"/>
    <w:uiPriority w:val="0"/>
    <w:pPr>
      <w:widowControl w:val="0"/>
      <w:spacing w:after="540" w:line="611" w:lineRule="exact"/>
      <w:jc w:val="center"/>
      <w:outlineLvl w:val="1"/>
    </w:pPr>
    <w:rPr>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154</Pages>
  <Words>9968</Words>
  <Characters>56823</Characters>
  <Lines>473</Lines>
  <Paragraphs>133</Paragraphs>
  <TotalTime>249</TotalTime>
  <ScaleCrop>false</ScaleCrop>
  <LinksUpToDate>false</LinksUpToDate>
  <CharactersWithSpaces>66658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2023-09-15T10:00:00Z</dcterms:created>
  <dc:creator>qincongjun</dc:creator>
  <cp:lastModifiedBy>姜洪涛</cp:lastModifiedBy>
  <dcterms:modified xsi:type="dcterms:W3CDTF">2024-01-03T02:33:29Z</dcterms:modified>
  <cp:revision>161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D43475BA6FE44C279B649C84422BDDB9_12</vt:lpwstr>
  </property>
  <property fmtid="{D5CDD505-2E9C-101B-9397-08002B2CF9AE}" pid="3" name="KSOProductBuildVer">
    <vt:lpwstr>2052-12.1.0.16120</vt:lpwstr>
  </property>
</Properties>
</file>